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BB2C6">
      <w:pPr>
        <w:spacing w:line="570" w:lineRule="exact"/>
        <w:jc w:val="center"/>
        <w:rPr>
          <w:rFonts w:ascii="华文中宋" w:hAnsi="华文中宋" w:eastAsia="华文中宋" w:cs="宋体"/>
          <w:b/>
          <w:kern w:val="0"/>
          <w:sz w:val="52"/>
          <w:szCs w:val="52"/>
        </w:rPr>
      </w:pPr>
    </w:p>
    <w:p w14:paraId="44EB5616">
      <w:pPr>
        <w:spacing w:line="570" w:lineRule="exact"/>
        <w:jc w:val="center"/>
        <w:rPr>
          <w:rFonts w:ascii="华文中宋" w:hAnsi="华文中宋" w:eastAsia="华文中宋" w:cs="宋体"/>
          <w:b/>
          <w:kern w:val="0"/>
          <w:sz w:val="52"/>
          <w:szCs w:val="52"/>
        </w:rPr>
      </w:pPr>
    </w:p>
    <w:p w14:paraId="51BC05BE">
      <w:pPr>
        <w:spacing w:line="570" w:lineRule="exact"/>
        <w:jc w:val="center"/>
        <w:rPr>
          <w:rFonts w:ascii="华文中宋" w:hAnsi="华文中宋" w:eastAsia="华文中宋" w:cs="宋体"/>
          <w:b/>
          <w:kern w:val="0"/>
          <w:sz w:val="52"/>
          <w:szCs w:val="52"/>
        </w:rPr>
      </w:pPr>
    </w:p>
    <w:p w14:paraId="1818391C">
      <w:pPr>
        <w:spacing w:line="570" w:lineRule="exact"/>
        <w:jc w:val="center"/>
        <w:rPr>
          <w:rFonts w:ascii="华文中宋" w:hAnsi="华文中宋" w:eastAsia="华文中宋" w:cs="宋体"/>
          <w:b/>
          <w:kern w:val="0"/>
          <w:sz w:val="52"/>
          <w:szCs w:val="52"/>
        </w:rPr>
      </w:pPr>
    </w:p>
    <w:p w14:paraId="67F72B8C">
      <w:pPr>
        <w:spacing w:line="570" w:lineRule="exact"/>
        <w:jc w:val="both"/>
        <w:rPr>
          <w:rFonts w:ascii="华文中宋" w:hAnsi="华文中宋" w:eastAsia="华文中宋" w:cs="宋体"/>
          <w:b/>
          <w:kern w:val="0"/>
          <w:sz w:val="52"/>
          <w:szCs w:val="52"/>
        </w:rPr>
      </w:pPr>
    </w:p>
    <w:p w14:paraId="225FF955">
      <w:pPr>
        <w:spacing w:line="570" w:lineRule="exact"/>
        <w:jc w:val="center"/>
        <w:rPr>
          <w:rFonts w:ascii="华文中宋" w:hAnsi="华文中宋" w:eastAsia="华文中宋" w:cs="宋体"/>
          <w:b/>
          <w:kern w:val="0"/>
          <w:sz w:val="52"/>
          <w:szCs w:val="52"/>
        </w:rPr>
      </w:pPr>
    </w:p>
    <w:p w14:paraId="5ADEE4D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611CF25">
      <w:pPr>
        <w:spacing w:line="570" w:lineRule="exact"/>
        <w:jc w:val="center"/>
        <w:rPr>
          <w:rFonts w:ascii="华文中宋" w:hAnsi="华文中宋" w:eastAsia="华文中宋" w:cs="宋体"/>
          <w:b/>
          <w:kern w:val="0"/>
          <w:sz w:val="52"/>
          <w:szCs w:val="52"/>
        </w:rPr>
      </w:pPr>
    </w:p>
    <w:p w14:paraId="1C15994B">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0A4FBCA0">
      <w:pPr>
        <w:spacing w:line="570" w:lineRule="exact"/>
        <w:jc w:val="center"/>
        <w:rPr>
          <w:rFonts w:hAnsi="宋体" w:eastAsia="仿宋_GB2312" w:cs="宋体"/>
          <w:kern w:val="0"/>
          <w:sz w:val="30"/>
          <w:szCs w:val="30"/>
        </w:rPr>
      </w:pPr>
    </w:p>
    <w:p w14:paraId="2BD8FEAB">
      <w:pPr>
        <w:spacing w:line="570" w:lineRule="exact"/>
        <w:jc w:val="center"/>
        <w:rPr>
          <w:rFonts w:hAnsi="宋体" w:eastAsia="仿宋_GB2312" w:cs="宋体"/>
          <w:kern w:val="0"/>
          <w:sz w:val="30"/>
          <w:szCs w:val="30"/>
        </w:rPr>
      </w:pPr>
    </w:p>
    <w:p w14:paraId="32C314E6">
      <w:pPr>
        <w:spacing w:line="570" w:lineRule="exact"/>
        <w:jc w:val="center"/>
        <w:rPr>
          <w:rFonts w:hAnsi="宋体" w:eastAsia="仿宋_GB2312" w:cs="宋体"/>
          <w:kern w:val="0"/>
          <w:sz w:val="30"/>
          <w:szCs w:val="30"/>
        </w:rPr>
      </w:pPr>
    </w:p>
    <w:p w14:paraId="655E2597">
      <w:pPr>
        <w:spacing w:line="570" w:lineRule="exact"/>
        <w:jc w:val="center"/>
        <w:rPr>
          <w:rFonts w:hAnsi="宋体" w:eastAsia="仿宋_GB2312" w:cs="宋体"/>
          <w:kern w:val="0"/>
          <w:sz w:val="30"/>
          <w:szCs w:val="30"/>
        </w:rPr>
      </w:pPr>
    </w:p>
    <w:p w14:paraId="5B0E6A89">
      <w:pPr>
        <w:spacing w:line="570" w:lineRule="exact"/>
        <w:jc w:val="center"/>
        <w:rPr>
          <w:rFonts w:hAnsi="宋体" w:eastAsia="仿宋_GB2312" w:cs="宋体"/>
          <w:kern w:val="0"/>
          <w:sz w:val="30"/>
          <w:szCs w:val="30"/>
        </w:rPr>
      </w:pPr>
    </w:p>
    <w:p w14:paraId="30FF099C">
      <w:pPr>
        <w:spacing w:line="570" w:lineRule="exact"/>
        <w:jc w:val="center"/>
        <w:rPr>
          <w:rFonts w:hAnsi="宋体" w:eastAsia="仿宋_GB2312" w:cs="宋体"/>
          <w:kern w:val="0"/>
          <w:sz w:val="30"/>
          <w:szCs w:val="30"/>
        </w:rPr>
      </w:pPr>
    </w:p>
    <w:p w14:paraId="0996047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2024年草原植被恢复费-禁牧和草畜平衡管理经费</w:t>
      </w:r>
    </w:p>
    <w:p w14:paraId="039722A9">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阿克陶县自然资源局</w:t>
      </w:r>
      <w:bookmarkStart w:id="0" w:name="_GoBack"/>
      <w:bookmarkEnd w:id="0"/>
    </w:p>
    <w:p w14:paraId="093724D3">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阿克陶县自然资源局</w:t>
      </w:r>
    </w:p>
    <w:p w14:paraId="0B2B2E7A">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杜志强</w:t>
      </w:r>
    </w:p>
    <w:p w14:paraId="087668D1">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2025年04月03日</w:t>
      </w:r>
    </w:p>
    <w:p w14:paraId="1A04AA24">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27D3DCA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A5D1154">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0F8C3BA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践行习近平总书记提出的绿水青山就是金山银山理念，以统筹山水林田湖草沙一体化保护和修复为主线，大力推进林草治理体系和治理能力现代化，奋力构筑生态安全屏障。在当前和今后相当长时期内,生态修复已经成为摆在全国人民面前的迫切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克陶县天然草地的面积为1313.6万亩天然草原。禁牧和草畜平衡面积932万亩，其中禁牧500万亩，草畜平衡432万亩。(地点:克孜勒陶镇、阿克塔拉牧场、恰尔隆镇、原库斯拉甫乡、奥依塔克镇、木吉乡、布伦口乡、塔尔乡、巴仁乡)。草原禁牧区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（1）草原禁牧区管理,对退化严重的温性荒漠、高寒荒漠和高寒草原实行禁牧封育，阿克陶县核定禁牧面积500万亩；全县八个乡镇（场）草原禁牧区落实情况每季度进行巡查监管全覆盖不少于一次。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（2）设立禁牧区标志，任何单位和个人不得破坏和擅自改变禁牧区域位置和管护标志，不得阻挠干预执法人员依法行使职权。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（3）建立群众参与的监督机制。将禁牧政策纳入村规民约中，使禁牧工作成为广大农牧民的自觉行为。鼓励广大干部群众和农牧民对违反禁牧政策的行为进行监督和报告。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加大执法力度。对没有实行禁牧且经多次警告仍不改正的，并按《自治区草原禁牧和草畜平衡监督管理办法》的规定给予处罚，并将违反情况通报给县农业农村、畜牧兽医局、财政等部门，并报请县草原生态保护补助奖励政策领导小组依法依规给与处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3.项目实施规模情况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禁牧和草畜平衡面积932万亩，其中禁牧500万亩，草畜平衡432万亩。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4.项目实施期限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2024年1月至2024年12月。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5.项目总投资及资金来源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阿克陶县2024年自治区林草专项资金（草原植被恢复费-禁牧、草蓄平衡管理项目预计需投入资金5万元，全部为2024年自治区林草专项资金。</w:t>
      </w:r>
    </w:p>
    <w:p w14:paraId="76B12EA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7D0B105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该项目资金用于完成2024年草原植被恢复费禁牧和草畜平衡面积932万亩，其中禁牧500万亩，草畜平衡432万亩，保护我县草原生态可持续发展。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 10号)、《中共中央国务院关于全面实施预算绩效管理的意见》(中 发〔2018〕34号)、《自治区党委自治区人民政府关于全面实施预 算绩效管理的实施意见》(新党发〔2018〕30号)、《自治区财政支出绩效评价管理暂行办法》(新财预〔2018〕189号)的规定，结 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“禁牧面积（万亩）”指标， 预期指标值为等于500（万亩）；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“草畜平衡面积（万亩）”指标， 预期指标值为等于432（万亩）；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“资金拨付及时率(%)”指标，预期指标值为等于100%;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“补助资金执行及时率（%）”指标，预期指标值为等于100%。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“禁牧和草畜平衡管理资金（万元）)”指标，预期指标值为等于5万元；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“降低破坏草原行为”指标，预期值为降低；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“有效提升草原生态情况”指标，预期指标值为提升；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“牧区群众满意度（%）”指标，预期指标值为等于100%。</w:t>
      </w:r>
    </w:p>
    <w:p w14:paraId="4A6B19A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D8E9A2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14:paraId="4DE717A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一 ) 绩效评价目的、对象和范围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为了全面深入地了解该项目在预算编制方面的合理性、资金使用 方面的合规性、项目管理过程中的规范性、项目目标实现的具体情况 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本次绩效评价活动严格遵循了财政部发布的《项目支出绩效评价 管理办法》(财预〔2020〕10号)以及自治区财政厅颁布的《自治 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 及预算执行情况。覆盖项目预算资金支出的所有内容进行评价。包括 项目决策、项目实施和项目成果验收流程等。</w:t>
      </w:r>
    </w:p>
    <w:p w14:paraId="373DADF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10C8CA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本次评价工作坚持定量优先、定量与定性相结合的方式，始终遵 循科学规范、公正公开、分级分类、绩效相关的基本原则。通对阿克陶县草原监理所2024年草原植被恢复费禁牧和草畜平衡管理经费资金进行绩效评价，我们旨在深入了解项目资金的使用情况和项目管理的现状、取得的成绩以及 产生的效益。通过这一过程，我们能够分析在政策执行、预算资金安排、项目实施等方面存在的问题，并据此提出具有针对性的建议。本 次绩效评价所遵循的原则包括：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(1)科学公正。我们致力于运用科学合理的方法，按照规范的 程序，对项目绩效进行客观、公正的反映。这要求我们在评价过程中,必须坚持科学的态度和方法，确保评价结果的真实性和准确性。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 可委托第三方机构实施，以确保评价的独立性和客观性。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 管理实质性挂钩，体现奖优罚劣和激励相容导向,有效要安排、低效要压减、无效要问责。这将有助于激发项目单位的积极性，提高资金使用效率，确保项目目标的实现。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 会监督。这不仅有助于增强评价工作的透明度，也有利于提升公众对 政府工作的信任度，同时为社会公众提供参与监督的渠道。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绩效评价指标体系是根据《预算绩效评价共性指标体系框架》(财 预〔2013〕53号)、《自治区党委自治区人民政府关于全面实施预算绩效管理的实施意见》(新党发〔2018〕30号)、《关于印发〈项 目支出绩效评价管理办法〉的通知》(财预(2020)10号)等文件 精神，结合专项特点，在与专家组、项目充分协商的基础上，评价工作组细化了该项目的绩效评价指标体系:该指标体系的一级指标包括：决策、过程、产出、效益。 一级指标是绩效评价的核心，它们涵盖了项目从立项到实施，再到产出和效益的全过程。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二级指标则进一步细化为：项目立项、绩效目标、资金投入、资 金管理、组织实施、产出数量、产出质量、产出时效、产出成本、项 目效益。这些指标从不同的角度对项目进行评价，确保项目的各个方 面都得到充分的考虑和评估。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三级指标则更加具体，包括：立项依据充分性、立项程序规范性、绩效目标合理性、绩效指标明确性、预算编制科学性、资金分配合理 性、资金到位率、预算执行率、资金使用合规性、管理制度健全性、 制度执行有效性、实际完成率、质量达标率、完成及时性、成本节约 率、社会效益、生态效益、可持续影响、服务对象满意度。这些指标从细节上对项目的各个方面进行评价，确保项目的每一个环节都符合 预期的目标和要求。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在本次绩效评价过程中，我们坚持了简便而有效的原则，选用了 多种评价方法，以确保评价结果的全面性和准确性。这些方法涵盖成 本效益分析法、比较法、综合指数评价法及公众评判法等，具体评价 手段阐述如下：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(1)成本效益分析法，这一方法的核心在于将一定时期内项目 的总成本与总效益进行对比分析。该分析能够量化评估绩效目标的实 现程度，为决策提供坚实的数据支撑。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(2)比较法，通过系统地整理和分析本项目相关的资料和数据， 我们可以评价数量指标的完成情况。此外，通过深入分析项目的实施 情况与绩效目标的实现情况，我们可以对项目实施的效果进行评价。此外，我们将分析项目资金的使用成效，以此评估预算分配的合理性，保障资金高效运用。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(3)综合指数评价法，这种方法涉及将各项绩效指标的实际水  平与既定的评价标准值进行对照。通过分别计算各项指标的评价得分，并按照设定的各项指标权数计算出综合评价得分，我们可以对绩效目标实现情况进行深入分析和评价。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 标准等制定。对于定性指标，通过问卷调查及访谈方式，采集相关数 据，运用等级描述法，设置分级标准，体现该指标认可程度的差异。 对于定量指标，通过公式等方式予以量化，可以准确衡量，并设定目 标值的考核指标。绩效评价体系、标准等详见(附件1)。</w:t>
      </w:r>
    </w:p>
    <w:p w14:paraId="6BA77E8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DB376B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 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 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党支部书记杜志强任评价组组长，绩效评价工作职责为负责 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玉麦尔江·马木提任评价组副组长，绩效评价工作职责为对项目实施情况进行实地调查。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刘玉玲任评价组成员，绩效评价工作职责为负责资料审核等工作。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经评价组通过实地调研等方式，采用综合 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 其次开展量化打分、综合评价工作，形成初步评价结论。最后归纳整 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14:paraId="4C66DB3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F060EC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  神，评价工作组从绩效目标、绩效控制、产出及效果进行评价分析。 绩效目标分析涵盖明确性、合理性和细化程度；绩效控制则关注资金  使用管理、项目组织及实施情况；项目产出及效果评价侧重于经济性、 效率性和效益性。本次绩效评价采用评分与评级结合，分值和等级依 据评价内容灵活设定。总分一般设置为100分，其中项目决策20分、项目过程20分、项目产出40分、项目效益20分。评价结果分为优、 良、中、差四个等级：优(90分(含) - 100分);良(80分(含) — 9 0 分 ) ; 中 ( 6 0 分 ( 含 ) — 8 0 分 ) ; 差 ( 0 分 — 6 0 分 )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依据项目绩效指标体系，从决策、过程、产出、效益四维度，经数据采集、实地调研及问卷访谈，对“2024年草原植被恢复费禁牧和草畜平衡管理经费”项目进行了客观公正评价，项目总得分为94分，评级为“优”。其中，决策类指标得分20分，过程类指标得分18分，产出类指标得分36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经评价，本项目达到了年初设立的绩效目标，在实施过程中取得了良好的成效，具体表现在：该项目资金用于完成2024年草原植被恢复费禁牧和草畜平衡管理经费5万元，保护我县草原生态环境可持续发展。</w:t>
      </w:r>
    </w:p>
    <w:p w14:paraId="160B9327">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C71CD4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8F3E6F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 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对草畜平衡草原根据承载能力核定合理载畜量，实施草畜平衡管理，阿克陶县核定草畜平衡面积432万亩，每个季度对全县七个乡镇（场）草畜平衡区落实情况进行巡查监管全覆盖一次。并结合阿克陶县县草原监理所职责组织实施。围绕阿克陶县草原监理所2024年度工作重点和工作计划制定经费预算，根据评分标准，该指标不扣分，得 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 根据决策依据编制工作计划和经费预算，经过与阿克陶县自然资源局财经领导小组进行沟通、筛选确定经费预算计划，上局务会研究确定最终预算方案，根据评分标准，该指标不扣分，得2分。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 制定了实施方案，明确了总体思路及目 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 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该项目资金5万元用于完成2024年草原植被恢复费禁牧和草畜平衡面积932万亩，其中禁牧500万亩，草畜平衡432万亩，保护我县草原生态可持续发展。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 资金分配按照克财建【2023】80号关于提前下达2024年自治区林草专项资金预算的通知精神，下达资金5万元，为2024年自治区林草专项资金，最终确定项目资金总数为5万元。资金分配与实际相适应，根据评分标准，该指标不扣分，得5分。</w:t>
      </w:r>
    </w:p>
    <w:p w14:paraId="5A7B4F8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181997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 个三级指标构成，权重分为20分，实际得分18分，得分率为90%。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 该项目总投资5万元，克州财政局实际</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下达经费5万元，其中当年财政拨款5万元，上年结转资金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0万元，财政资金足额拨付到位，根据评分标准，该指标不扣分，得5 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(2)预算执行率：本项目申请预茸金额为5万元，预算批复实际下达资金为5万元，截至2024年12月31日，资金执行3.18万元、资金执行率64%。项目资金支出总体能够按照预算批复评分标准，该指标扣2分，得3分。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(3)资金使用合规性：根据克财建【2023】80号关于提前下达2024年自治区林草专项资金预算的通知精神，符合预算批复规定用途，不存在截留、挤占、挪用、虚列支出等情况，未发现违 趣健用情况，根据评分标准，该指标不扣分，得5分。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(4)理制度健全性：该项目严格按照克财建【2023】80号关于提前下达2024年自治区林草专项资金预算的通知精神及2024自治区林草专项资金相关的制度和管理规定实施，对财 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 由部门提出经费预算支出可行性方案， 经过与财经领导小组沟通后，报局务会会议研究执行，财务对资金的 使用合法合规性进行监督，年底对资金使用效果进行自评，根据评分标准，该指标不扣分，得3分。</w:t>
      </w:r>
    </w:p>
    <w:p w14:paraId="5BF6815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818491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项目产出类指标包括产出数量、产出质量、产出时效、产出成本四方面的内容，由4个三级指标构成，权重分为40分，实际得分36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禁牧面积（万亩）等于500（万亩）， 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草畜平衡面积（万亩）等于432（万亩），与预期目 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资金拨付及时率（%）等于100%,与预期目标一致，根据评分标 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补助资金执行及时率（%）等于100%,与预期目标指标一致，根 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禁牧和草畜平衡管理资金（万元）等于5万元，实际完成3.18万元，完成率64%，根据评分标准，该指标扣4分，得6分。</w:t>
      </w:r>
    </w:p>
    <w:p w14:paraId="483FA03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28D3BE76">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项目效益类指标包括项目效益2个方面的内容，由2个三级指标 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降低破坏草原行为，与预期目标一致，根据评分标准，该指标不扣分，得5分。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有效提升草原生态情况，预期目标一致，根据评分标准，该指标不扣分，得5分。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14:paraId="7F24D7D5">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对于满意度指标：牧区群众满意度100%,与预期目标一致，根据评分标准，该指标不扣分，得10分。</w:t>
      </w:r>
    </w:p>
    <w:p w14:paraId="7DAF8D44">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14:paraId="3FE5904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不断完善各项预算管理制度，根据新形势和新要求，结合不断出台的各项制度，强化预算管理，事前编制预算，严格控制经费使 用，确保每项支出都讲求绩效，将绩效管理理念贯穿于预算编制、执行及决算的全过程。执行及决算等环节。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 化上改进，二是自评价工作还存在自我审定的局限性，会影响评价质 量，容易造成问题的疏漏，在客观性和公正性上说服力不强，三是缺少带着问题去评价的意识，四是现场评价的工作量少，后续效益评价具体措施和方法较少。</w:t>
      </w:r>
    </w:p>
    <w:p w14:paraId="77ED465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663E903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1.建议强化绩效目标管理体系，切实提升预算执行与项目实施的协同效能：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一是建议项目实施单位严格遵循《关于印发&lt;自治区本级部门预 算绩效目标管理暂行办法&gt;的通知》(新财预〔2018〕21号)相关规范,确保绩效目标能精准映射预算资金的预期产出与实施效果。在指标值设定环节，应综合参照历史数据、行业规范及计划指标等权威标准，通过量化指标体建议项目规划阶段进行深入调研，确保绩效指标 设置既贴合业务实际，又便于量化考核与可追溯的特性。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指标，应建立预警机制，并明确要求在规定时间内进行完善。警机制并限期完善。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三是建议建立健全绩效动态监测机制。当实际执行与预设目标产生显著偏离时，须及时开展偏差溯源分析与纠偏措施。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2.建议优化资金全流程管控，严格规范"项目申报-专业评审-资 金分配-拨付执行"的闭环管理机制，重点强化支付环节的合规性审查与时效性管理。</w:t>
      </w:r>
    </w:p>
    <w:p w14:paraId="78F696E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650FFDC0">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D02DFCB">
        <w:pPr>
          <w:pStyle w:val="12"/>
          <w:jc w:val="center"/>
        </w:pPr>
        <w:r>
          <w:fldChar w:fldCharType="begin"/>
        </w:r>
        <w:r>
          <w:instrText xml:space="preserve">PAGE   \* MERGEFORMAT</w:instrText>
        </w:r>
        <w:r>
          <w:fldChar w:fldCharType="separate"/>
        </w:r>
        <w:r>
          <w:rPr>
            <w:lang w:val="zh-CN"/>
          </w:rPr>
          <w:t>1</w:t>
        </w:r>
        <w:r>
          <w:fldChar w:fldCharType="end"/>
        </w:r>
      </w:p>
    </w:sdtContent>
  </w:sdt>
  <w:p w14:paraId="6C163C0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9B90F5C"/>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6508</Words>
  <Characters>6792</Characters>
  <Lines>5</Lines>
  <Paragraphs>1</Paragraphs>
  <TotalTime>0</TotalTime>
  <ScaleCrop>false</ScaleCrop>
  <LinksUpToDate>false</LinksUpToDate>
  <CharactersWithSpaces>6935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GaYi.</cp:lastModifiedBy>
  <cp:lastPrinted>2018-12-31T10:56:00Z</cp:lastPrinted>
  <dcterms:modified xsi:type="dcterms:W3CDTF">2025-09-15T08:23:16Z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eyJoZGlkIjoiNjg0OWE4YjI3YjAxN2QwYzY1NGYyMjc5MDIwNzJhMTUiLCJ1c2VySWQiOiI0NDQ5NDYzNjEifQ==</vt:lpwstr>
  </property>
  <property fmtid="{D5CDD505-2E9C-101B-9397-08002B2CF9AE}" pid="4" name="ICV">
    <vt:lpwstr>FAA8DFF82ADE4FADADF90D9548EEB6A8_12</vt:lpwstr>
  </property>
</Properties>
</file>