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阿克陶县林业管理站2024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27625C">
      <w:r>
        <w:br w:type="page"/>
      </w:r>
    </w:p>
    <w:p w14:paraId="5FD400CD">
      <w:pPr>
        <w:spacing w:line="640" w:lineRule="exact"/>
        <w:jc w:val="center"/>
        <w:outlineLvl w:val="1"/>
      </w:pPr>
      <w:r>
        <w:rPr>
          <w:rFonts w:ascii="黑体" w:hAnsi="黑体" w:eastAsia="黑体"/>
          <w:sz w:val="32"/>
        </w:rPr>
        <w:t>第一部分 单位概况</w:t>
      </w:r>
    </w:p>
    <w:p w14:paraId="657B40CC">
      <w:pPr>
        <w:spacing w:line="640" w:lineRule="exact"/>
        <w:ind w:firstLine="640"/>
        <w:jc w:val="both"/>
        <w:outlineLvl w:val="2"/>
      </w:pPr>
      <w:r>
        <w:rPr>
          <w:rFonts w:ascii="黑体" w:hAnsi="黑体" w:eastAsia="黑体"/>
          <w:sz w:val="32"/>
        </w:rPr>
        <w:t>一、主要职能</w:t>
      </w:r>
    </w:p>
    <w:p w14:paraId="19BDE21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国家和自治区、自治州有关林业方面的法律法规和政策等。宣传贯彻执行林业政策，法律法规，提高群众的知法，懂法，守法的自觉性。指导和组织农村集体，个人开展各项林业生产经营活动，抓好种苗工作，实现良种苗化。</w:t>
      </w:r>
    </w:p>
    <w:p w14:paraId="6C765553">
      <w:pPr>
        <w:spacing w:line="580" w:lineRule="exact"/>
        <w:ind w:firstLine="640"/>
        <w:jc w:val="both"/>
      </w:pPr>
      <w:r>
        <w:rPr>
          <w:rFonts w:ascii="仿宋_GB2312" w:hAnsi="仿宋_GB2312" w:eastAsia="仿宋_GB2312"/>
          <w:sz w:val="32"/>
        </w:rPr>
        <w:t>2.负责林地保护，开发，利用，监督，管理工作，做好辖区内征占用林地的统计报表工作，严格执行限额采伐管理，按照林业行政处罚规定，及时查处林业案件处理问题，实现科学营林，造福子孙后代。</w:t>
      </w:r>
    </w:p>
    <w:p w14:paraId="7332EDA3">
      <w:pPr>
        <w:spacing w:line="580" w:lineRule="exact"/>
        <w:ind w:firstLine="640"/>
        <w:jc w:val="both"/>
      </w:pPr>
      <w:r>
        <w:rPr>
          <w:rFonts w:ascii="仿宋_GB2312" w:hAnsi="仿宋_GB2312" w:eastAsia="仿宋_GB2312"/>
          <w:sz w:val="32"/>
        </w:rPr>
        <w:t>3.负责全县森林资源的管理，指导全县森林资源的调查、规划、动态监测和统计，审核监督森林资源的管理使用，依法保护管理林业资源，查处破坏案件，管理林木采伐工作，编制和下达年度森林采伐量计划和木材生产计划，监督森林采伐限额和木材生产计划的执行，监督管理林木的凭证采伐和经营加工，运输管理的行政执法和行政案件统计分析工作，指导全县林地、林权管理，依法负责林地征占用的审核工作，对林木补偿费、林地补偿费、安置补助费，森林植被恢复费的收取和使用进行监督管理。</w:t>
      </w:r>
    </w:p>
    <w:p w14:paraId="5F09A058">
      <w:pPr>
        <w:spacing w:line="640" w:lineRule="exact"/>
        <w:ind w:firstLine="640"/>
        <w:jc w:val="both"/>
        <w:outlineLvl w:val="2"/>
      </w:pPr>
      <w:r>
        <w:rPr>
          <w:rFonts w:ascii="黑体" w:hAnsi="黑体" w:eastAsia="黑体"/>
          <w:sz w:val="32"/>
        </w:rPr>
        <w:t>二、机构设置及人员情况</w:t>
      </w:r>
    </w:p>
    <w:p w14:paraId="76DDD74C">
      <w:pPr>
        <w:spacing w:line="580" w:lineRule="exact"/>
        <w:ind w:firstLine="640"/>
        <w:jc w:val="both"/>
      </w:pPr>
      <w:r>
        <w:rPr>
          <w:rFonts w:ascii="仿宋_GB2312" w:hAnsi="仿宋_GB2312" w:eastAsia="仿宋_GB2312"/>
          <w:sz w:val="32"/>
        </w:rPr>
        <w:t>阿克陶县林业管理站2024年度，实有人数66人，其中：在职人员17人，减少1人；离休人员0人，增加0人；退休人员49人,增加0人。</w:t>
      </w:r>
    </w:p>
    <w:p w14:paraId="6A25B31B">
      <w:pPr>
        <w:spacing w:line="580" w:lineRule="exact"/>
        <w:ind w:firstLine="640"/>
        <w:jc w:val="both"/>
      </w:pPr>
      <w:r>
        <w:rPr>
          <w:rFonts w:ascii="仿宋_GB2312" w:hAnsi="仿宋_GB2312" w:eastAsia="仿宋_GB2312"/>
          <w:sz w:val="32"/>
        </w:rPr>
        <w:t>阿克陶县林业管理站无下属预算单位，下设1个科室，分别是：办公室。</w:t>
      </w:r>
    </w:p>
    <w:p w14:paraId="0BF2B7F2">
      <w:r>
        <w:br w:type="page"/>
      </w:r>
    </w:p>
    <w:p w14:paraId="4CA59543">
      <w:pPr>
        <w:spacing w:line="240" w:lineRule="auto"/>
        <w:jc w:val="center"/>
        <w:outlineLvl w:val="1"/>
      </w:pPr>
      <w:r>
        <w:rPr>
          <w:rFonts w:ascii="黑体" w:hAnsi="黑体" w:eastAsia="黑体"/>
          <w:sz w:val="32"/>
        </w:rPr>
        <w:t>第二部分 部门决算情况说明</w:t>
      </w:r>
    </w:p>
    <w:p w14:paraId="12A74257">
      <w:pPr>
        <w:spacing w:line="640" w:lineRule="exact"/>
        <w:ind w:firstLine="640"/>
        <w:jc w:val="both"/>
        <w:outlineLvl w:val="2"/>
      </w:pPr>
      <w:r>
        <w:rPr>
          <w:rFonts w:ascii="黑体" w:hAnsi="黑体" w:eastAsia="黑体"/>
          <w:sz w:val="32"/>
        </w:rPr>
        <w:t>一、收入支出决算总体情况说明</w:t>
      </w:r>
    </w:p>
    <w:p w14:paraId="09D7D236">
      <w:pPr>
        <w:spacing w:line="580" w:lineRule="exact"/>
        <w:ind w:firstLine="640"/>
        <w:jc w:val="both"/>
      </w:pPr>
      <w:r>
        <w:rPr>
          <w:rFonts w:ascii="仿宋_GB2312" w:hAnsi="仿宋_GB2312" w:eastAsia="仿宋_GB2312"/>
          <w:b/>
          <w:sz w:val="32"/>
        </w:rPr>
        <w:t>2024年度收入总计435.47万元，</w:t>
      </w:r>
      <w:r>
        <w:rPr>
          <w:rFonts w:ascii="仿宋_GB2312" w:hAnsi="仿宋_GB2312" w:eastAsia="仿宋_GB2312"/>
          <w:b w:val="0"/>
          <w:sz w:val="32"/>
        </w:rPr>
        <w:t>其中：本年收入合计435.45万元，使用非财政拨款结余（含专用结余）0.00万元，年初结转和结余0.02万元。</w:t>
      </w:r>
    </w:p>
    <w:p w14:paraId="0A87AA64">
      <w:pPr>
        <w:spacing w:line="580" w:lineRule="exact"/>
        <w:ind w:firstLine="640"/>
        <w:jc w:val="both"/>
      </w:pPr>
      <w:r>
        <w:rPr>
          <w:rFonts w:ascii="仿宋_GB2312" w:hAnsi="仿宋_GB2312" w:eastAsia="仿宋_GB2312"/>
          <w:b/>
          <w:sz w:val="32"/>
        </w:rPr>
        <w:t>2024年度支出总计435.47万元，</w:t>
      </w:r>
      <w:r>
        <w:rPr>
          <w:rFonts w:ascii="仿宋_GB2312" w:hAnsi="仿宋_GB2312" w:eastAsia="仿宋_GB2312"/>
          <w:b w:val="0"/>
          <w:sz w:val="32"/>
        </w:rPr>
        <w:t>其中：本年支出合计435.45万元，结余分配0.00万元，年末结转和结余0.02万元。</w:t>
      </w:r>
    </w:p>
    <w:p w14:paraId="687B3268">
      <w:pPr>
        <w:spacing w:line="580" w:lineRule="exact"/>
        <w:ind w:firstLine="640"/>
        <w:jc w:val="both"/>
      </w:pPr>
      <w:r>
        <w:rPr>
          <w:rFonts w:ascii="仿宋_GB2312" w:hAnsi="仿宋_GB2312" w:eastAsia="仿宋_GB2312"/>
          <w:b w:val="0"/>
          <w:sz w:val="32"/>
        </w:rPr>
        <w:t>收入支出总体与上年相比，减少55.79万元，下降11.36%，主要原因是：本年在职人员减少，相关人员经费较上年减少。本年减少人员津贴补贴费用。</w:t>
      </w:r>
    </w:p>
    <w:p w14:paraId="2B06517C">
      <w:pPr>
        <w:spacing w:line="640" w:lineRule="exact"/>
        <w:ind w:firstLine="640"/>
        <w:jc w:val="both"/>
        <w:outlineLvl w:val="2"/>
      </w:pPr>
      <w:r>
        <w:rPr>
          <w:rFonts w:ascii="黑体" w:hAnsi="黑体" w:eastAsia="黑体"/>
          <w:sz w:val="32"/>
        </w:rPr>
        <w:t>二、收入决算情况说明</w:t>
      </w:r>
    </w:p>
    <w:p w14:paraId="7BB94421">
      <w:pPr>
        <w:spacing w:line="580" w:lineRule="exact"/>
        <w:ind w:firstLine="640"/>
        <w:jc w:val="both"/>
      </w:pPr>
      <w:r>
        <w:rPr>
          <w:rFonts w:ascii="仿宋_GB2312" w:hAnsi="仿宋_GB2312" w:eastAsia="仿宋_GB2312"/>
          <w:b/>
          <w:sz w:val="32"/>
        </w:rPr>
        <w:t>本年收入435.45万元，</w:t>
      </w:r>
      <w:r>
        <w:rPr>
          <w:rFonts w:ascii="仿宋_GB2312" w:hAnsi="仿宋_GB2312" w:eastAsia="仿宋_GB2312"/>
          <w:b w:val="0"/>
          <w:sz w:val="32"/>
        </w:rPr>
        <w:t>其中：财政拨款收入435.43万元，占100.00%；上级补助收入0.00万元，占0.00%；事业收入0.00万元，占0.00%；经营收入0.00万元，占0.00%；附属单位上缴收入0.00万元，占0.00%；其他收入0.02万元，占0.005%。</w:t>
      </w:r>
    </w:p>
    <w:p w14:paraId="601DE10E">
      <w:pPr>
        <w:spacing w:line="640" w:lineRule="exact"/>
        <w:ind w:firstLine="640"/>
        <w:jc w:val="both"/>
        <w:outlineLvl w:val="2"/>
      </w:pPr>
      <w:r>
        <w:rPr>
          <w:rFonts w:ascii="黑体" w:hAnsi="黑体" w:eastAsia="黑体"/>
          <w:sz w:val="32"/>
        </w:rPr>
        <w:t>三、支出决算情况说明</w:t>
      </w:r>
    </w:p>
    <w:p w14:paraId="13732D03">
      <w:pPr>
        <w:spacing w:line="580" w:lineRule="exact"/>
        <w:ind w:firstLine="640"/>
        <w:jc w:val="both"/>
      </w:pPr>
      <w:r>
        <w:rPr>
          <w:rFonts w:ascii="仿宋_GB2312" w:hAnsi="仿宋_GB2312" w:eastAsia="仿宋_GB2312"/>
          <w:b/>
          <w:sz w:val="32"/>
        </w:rPr>
        <w:t>本年支出435.45万元，</w:t>
      </w:r>
      <w:r>
        <w:rPr>
          <w:rFonts w:ascii="仿宋_GB2312" w:hAnsi="仿宋_GB2312" w:eastAsia="仿宋_GB2312"/>
          <w:b w:val="0"/>
          <w:sz w:val="32"/>
        </w:rPr>
        <w:t>其中：基本支出435.45万元，占100.00%；项目支出0.00万元，占0.00%；上缴上级支出0.00万元，占0.00%；经营支出0.00万元，占0.00%；对附属单位补助支出0.00万元，占0.00%。</w:t>
      </w:r>
    </w:p>
    <w:p w14:paraId="2EA4EE04">
      <w:pPr>
        <w:spacing w:line="640" w:lineRule="exact"/>
        <w:ind w:firstLine="640"/>
        <w:jc w:val="both"/>
        <w:outlineLvl w:val="2"/>
      </w:pPr>
      <w:r>
        <w:rPr>
          <w:rFonts w:ascii="黑体" w:hAnsi="黑体" w:eastAsia="黑体"/>
          <w:sz w:val="32"/>
        </w:rPr>
        <w:t>四、财政拨款收入支出决算总体情况说明</w:t>
      </w:r>
    </w:p>
    <w:p w14:paraId="27EE26DE">
      <w:pPr>
        <w:spacing w:line="580" w:lineRule="exact"/>
        <w:ind w:firstLine="640"/>
        <w:jc w:val="both"/>
      </w:pPr>
      <w:r>
        <w:rPr>
          <w:rFonts w:ascii="仿宋_GB2312" w:hAnsi="仿宋_GB2312" w:eastAsia="仿宋_GB2312"/>
          <w:b/>
          <w:sz w:val="32"/>
        </w:rPr>
        <w:t>2024年度财政拨款收入总计435.43万元，</w:t>
      </w:r>
      <w:r>
        <w:rPr>
          <w:rFonts w:ascii="仿宋_GB2312" w:hAnsi="仿宋_GB2312" w:eastAsia="仿宋_GB2312"/>
          <w:b w:val="0"/>
          <w:sz w:val="32"/>
        </w:rPr>
        <w:t>其中：年初财政拨款结转和结余0.00万元，本年财政拨款收入435.43万元。</w:t>
      </w:r>
      <w:r>
        <w:rPr>
          <w:rFonts w:ascii="仿宋_GB2312" w:hAnsi="仿宋_GB2312" w:eastAsia="仿宋_GB2312"/>
          <w:b/>
          <w:sz w:val="32"/>
        </w:rPr>
        <w:t>财政拨款支出总计435.43万元，</w:t>
      </w:r>
      <w:r>
        <w:rPr>
          <w:rFonts w:ascii="仿宋_GB2312" w:hAnsi="仿宋_GB2312" w:eastAsia="仿宋_GB2312"/>
          <w:b w:val="0"/>
          <w:sz w:val="32"/>
        </w:rPr>
        <w:t>其中：年末财政拨款结转和结余0.00万元，本年财政拨款支出435.43万元。</w:t>
      </w:r>
    </w:p>
    <w:p w14:paraId="530C15B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减少55.76万元，下降11.35%，主要原因是：本年在职人员减少，相关人员经费减少。本年减少人员津贴补贴费用。</w:t>
      </w:r>
      <w:r>
        <w:rPr>
          <w:rFonts w:ascii="仿宋_GB2312" w:hAnsi="仿宋_GB2312" w:eastAsia="仿宋_GB2312"/>
          <w:b/>
          <w:sz w:val="32"/>
        </w:rPr>
        <w:t>与年初预算相比，</w:t>
      </w:r>
      <w:r>
        <w:rPr>
          <w:rFonts w:ascii="仿宋_GB2312" w:hAnsi="仿宋_GB2312" w:eastAsia="仿宋_GB2312"/>
          <w:b w:val="0"/>
          <w:sz w:val="32"/>
        </w:rPr>
        <w:t>年初预算数468.14万元，决算数435.43万元，预决算差异率-6.99%，主要原因是：本年在职人员减少，年中调减人员经费，导致预决算存在差异。</w:t>
      </w:r>
    </w:p>
    <w:p w14:paraId="016070DD">
      <w:pPr>
        <w:spacing w:line="640" w:lineRule="exact"/>
        <w:ind w:firstLine="640"/>
        <w:jc w:val="both"/>
        <w:outlineLvl w:val="2"/>
      </w:pPr>
      <w:r>
        <w:rPr>
          <w:rFonts w:ascii="黑体" w:hAnsi="黑体" w:eastAsia="黑体"/>
          <w:sz w:val="32"/>
        </w:rPr>
        <w:t>五、一般公共预算财政拨款支出决算情况说明</w:t>
      </w:r>
    </w:p>
    <w:p w14:paraId="47510D3C">
      <w:pPr>
        <w:spacing w:line="640" w:lineRule="exact"/>
        <w:ind w:firstLine="640"/>
        <w:jc w:val="both"/>
        <w:outlineLvl w:val="3"/>
      </w:pPr>
      <w:r>
        <w:rPr>
          <w:rFonts w:ascii="楷体_GB2312" w:hAnsi="楷体_GB2312" w:eastAsia="楷体_GB2312"/>
          <w:b/>
          <w:sz w:val="32"/>
        </w:rPr>
        <w:t>（一）一般公共预算财政拨款支出决算总体情况</w:t>
      </w:r>
    </w:p>
    <w:p w14:paraId="1DFAA47F">
      <w:pPr>
        <w:spacing w:line="580" w:lineRule="exact"/>
        <w:ind w:firstLine="640"/>
        <w:jc w:val="both"/>
      </w:pPr>
      <w:r>
        <w:rPr>
          <w:rFonts w:ascii="仿宋_GB2312" w:hAnsi="仿宋_GB2312" w:eastAsia="仿宋_GB2312"/>
          <w:b/>
          <w:sz w:val="32"/>
        </w:rPr>
        <w:t>2024年度一般公共预算财政拨款支出435.43万元，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减少55.76万元，下降11.35%，主要原因是：本年在职人员减少，相关人员经费较上年减少。本年减少人员津贴补贴费用。</w:t>
      </w:r>
      <w:r>
        <w:rPr>
          <w:rFonts w:ascii="仿宋_GB2312" w:hAnsi="仿宋_GB2312" w:eastAsia="仿宋_GB2312"/>
          <w:b/>
          <w:sz w:val="32"/>
        </w:rPr>
        <w:t>与年初预算相比,</w:t>
      </w:r>
      <w:r>
        <w:rPr>
          <w:rFonts w:ascii="仿宋_GB2312" w:hAnsi="仿宋_GB2312" w:eastAsia="仿宋_GB2312"/>
          <w:b w:val="0"/>
          <w:sz w:val="32"/>
        </w:rPr>
        <w:t>年初预算数468.14万元，决算数435.43万元，预决算差异率-6.99%，主要原因是：本年在职人员减少，年中调减人员经费，导致预决算存在差异。</w:t>
      </w:r>
    </w:p>
    <w:p w14:paraId="006DD93E">
      <w:pPr>
        <w:spacing w:line="640" w:lineRule="exact"/>
        <w:ind w:firstLine="640"/>
        <w:jc w:val="both"/>
        <w:outlineLvl w:val="3"/>
      </w:pPr>
      <w:r>
        <w:rPr>
          <w:rFonts w:ascii="楷体_GB2312" w:hAnsi="楷体_GB2312" w:eastAsia="楷体_GB2312"/>
          <w:b/>
          <w:sz w:val="32"/>
        </w:rPr>
        <w:t>（二）一般公共预算财政拨款支出决算结构情况</w:t>
      </w:r>
    </w:p>
    <w:p w14:paraId="322E1E40">
      <w:pPr>
        <w:spacing w:line="580" w:lineRule="exact"/>
        <w:ind w:firstLine="640"/>
        <w:jc w:val="both"/>
      </w:pPr>
      <w:r>
        <w:rPr>
          <w:rFonts w:ascii="仿宋_GB2312" w:hAnsi="仿宋_GB2312" w:eastAsia="仿宋_GB2312"/>
          <w:b w:val="0"/>
          <w:sz w:val="32"/>
        </w:rPr>
        <w:t>1.社会保障和就业支出(类)106.48万元,占24.45%。</w:t>
      </w:r>
    </w:p>
    <w:p w14:paraId="7C9D6120">
      <w:pPr>
        <w:spacing w:line="580" w:lineRule="exact"/>
        <w:ind w:firstLine="640"/>
        <w:jc w:val="both"/>
      </w:pPr>
      <w:r>
        <w:rPr>
          <w:rFonts w:ascii="仿宋_GB2312" w:hAnsi="仿宋_GB2312" w:eastAsia="仿宋_GB2312"/>
          <w:b w:val="0"/>
          <w:sz w:val="32"/>
        </w:rPr>
        <w:t>2.卫生健康支出(类)14.56万元,占3.34%。</w:t>
      </w:r>
    </w:p>
    <w:p w14:paraId="3A9061C3">
      <w:pPr>
        <w:spacing w:line="580" w:lineRule="exact"/>
        <w:ind w:firstLine="640"/>
        <w:jc w:val="both"/>
      </w:pPr>
      <w:r>
        <w:rPr>
          <w:rFonts w:ascii="仿宋_GB2312" w:hAnsi="仿宋_GB2312" w:eastAsia="仿宋_GB2312"/>
          <w:b w:val="0"/>
          <w:sz w:val="32"/>
        </w:rPr>
        <w:t>3.农林水支出(类)283.81万元,占65.18%。</w:t>
      </w:r>
    </w:p>
    <w:p w14:paraId="0A05CFAB">
      <w:pPr>
        <w:spacing w:line="580" w:lineRule="exact"/>
        <w:ind w:firstLine="640"/>
        <w:jc w:val="both"/>
      </w:pPr>
      <w:r>
        <w:rPr>
          <w:rFonts w:ascii="仿宋_GB2312" w:hAnsi="仿宋_GB2312" w:eastAsia="仿宋_GB2312"/>
          <w:b w:val="0"/>
          <w:sz w:val="32"/>
        </w:rPr>
        <w:t>4.住房保障支出(类)30.59万元,占7.03%。</w:t>
      </w:r>
    </w:p>
    <w:p w14:paraId="47F7121A">
      <w:pPr>
        <w:spacing w:line="640" w:lineRule="exact"/>
        <w:ind w:firstLine="640"/>
        <w:jc w:val="both"/>
        <w:outlineLvl w:val="3"/>
      </w:pPr>
      <w:r>
        <w:rPr>
          <w:rFonts w:ascii="楷体_GB2312" w:hAnsi="楷体_GB2312" w:eastAsia="楷体_GB2312"/>
          <w:b/>
          <w:sz w:val="32"/>
        </w:rPr>
        <w:t>（三）一般公共预算财政拨款支出决算具体情况</w:t>
      </w:r>
    </w:p>
    <w:p w14:paraId="582F677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1.社会保障和就业支出(类)行政事业单位养老支出(款)事业单位离退休(项):支出决算数为55.51万元，比上年决算增加9.93万元，增长21.79%,主要原因是：本年退休人员增加，退休费支出增加。</w:t>
      </w:r>
    </w:p>
    <w:p w14:paraId="34BE810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36.83万元，比上年决算增加0.42万元，增长1.15%,主要原因是：本年在职人员工资基数调增，养老缴费基数上涨，相应支出增加。</w:t>
      </w:r>
    </w:p>
    <w:p w14:paraId="05B42C1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3.社会保障和就业支出(类)行政事业单位养老支出(款)机关事业单位职业年金缴费支出(项):支出决算数为0.00万元，比上年决算减少10.00万元，下降100.00%,主要原因是：本年新增退休人员职业年金未做实。</w:t>
      </w:r>
    </w:p>
    <w:p w14:paraId="7F9721E7">
      <w:pPr>
        <w:spacing w:line="580" w:lineRule="exact"/>
        <w:ind w:firstLine="640"/>
        <w:jc w:val="both"/>
      </w:pPr>
      <w:r>
        <w:rPr>
          <w:rFonts w:ascii="仿宋_GB2312" w:hAnsi="仿宋_GB2312" w:eastAsia="仿宋_GB2312"/>
          <w:b w:val="0"/>
          <w:sz w:val="32"/>
        </w:rPr>
        <w:t>4.社会保障和就业支出(类)抚恤(款)死亡抚恤(项):支出决算数为14.14万元，比上年决算增加2.02万元，增长16.67%,主要原因是：本年新增</w:t>
      </w:r>
      <w:r>
        <w:rPr>
          <w:rFonts w:hint="eastAsia" w:ascii="仿宋_GB2312" w:hAnsi="仿宋_GB2312" w:eastAsia="仿宋_GB2312"/>
          <w:b w:val="0"/>
          <w:sz w:val="32"/>
          <w:lang w:val="en-US" w:eastAsia="zh-CN"/>
        </w:rPr>
        <w:t>退休</w:t>
      </w:r>
      <w:bookmarkStart w:id="0" w:name="_GoBack"/>
      <w:bookmarkEnd w:id="0"/>
      <w:r>
        <w:rPr>
          <w:rFonts w:ascii="仿宋_GB2312" w:hAnsi="仿宋_GB2312" w:eastAsia="仿宋_GB2312"/>
          <w:b w:val="0"/>
          <w:sz w:val="32"/>
        </w:rPr>
        <w:t>死亡人员，死亡抚恤支出增加。本年科目调整，上年部分抚恤金在主科目列支核算，本年全部单独列支，导致经费增加。</w:t>
      </w:r>
    </w:p>
    <w:p w14:paraId="25120496">
      <w:pPr>
        <w:spacing w:line="580" w:lineRule="exact"/>
        <w:ind w:firstLine="640"/>
        <w:jc w:val="both"/>
      </w:pPr>
      <w:r>
        <w:rPr>
          <w:rFonts w:ascii="仿宋_GB2312" w:hAnsi="仿宋_GB2312" w:eastAsia="仿宋_GB2312"/>
          <w:b w:val="0"/>
          <w:sz w:val="32"/>
        </w:rPr>
        <w:t>5.卫生健康支出(类)行政事业单位医疗(款)事业单位医疗(项):支出决算数为14.56万元，比上年决算增加0.75万元，增长5.43%,主要原因是：本年在职人员工资基数调增，医疗缴费基数上涨，相应支出增加。</w:t>
      </w:r>
    </w:p>
    <w:p w14:paraId="056CEA37">
      <w:pPr>
        <w:spacing w:line="580" w:lineRule="exact"/>
        <w:ind w:firstLine="640"/>
        <w:jc w:val="both"/>
      </w:pPr>
      <w:r>
        <w:rPr>
          <w:rFonts w:ascii="仿宋_GB2312" w:hAnsi="仿宋_GB2312" w:eastAsia="仿宋_GB2312"/>
          <w:b w:val="0"/>
          <w:sz w:val="32"/>
        </w:rPr>
        <w:t>6.农林水支出(类)林业和草原(款)事业机构(项):支出决算数为283.81万元，比上年决算减少60.01万元，下降17.45%,主要原因是：本年在职人员减少，相关人员经费较上年减少。本年减少人员津贴补贴费用。本年科目调整，上年部分抚恤金在主科目列支核算，本年全部单独列支，导致经费减少。</w:t>
      </w:r>
    </w:p>
    <w:p w14:paraId="7C60C9DE">
      <w:pPr>
        <w:spacing w:line="580" w:lineRule="exact"/>
        <w:ind w:firstLine="640"/>
        <w:jc w:val="both"/>
      </w:pPr>
      <w:r>
        <w:rPr>
          <w:rFonts w:ascii="仿宋_GB2312" w:hAnsi="仿宋_GB2312" w:eastAsia="仿宋_GB2312"/>
          <w:b w:val="0"/>
          <w:sz w:val="32"/>
        </w:rPr>
        <w:t>7.住房保障支出(类)住房改革支出(款)住房公积金(项):支出决算数为30.59万元，比上年决算增加1.15万元，增长3.91%,主要原因是：本年在职人员工资基数调增，公积金缴费基数上涨，相应支出增加。</w:t>
      </w:r>
    </w:p>
    <w:p w14:paraId="05FA4C4C">
      <w:pPr>
        <w:spacing w:line="640" w:lineRule="exact"/>
        <w:ind w:firstLine="640"/>
        <w:jc w:val="both"/>
        <w:outlineLvl w:val="2"/>
      </w:pPr>
      <w:r>
        <w:rPr>
          <w:rFonts w:ascii="黑体" w:hAnsi="黑体" w:eastAsia="黑体"/>
          <w:sz w:val="32"/>
        </w:rPr>
        <w:t>六、一般公共预算财政拨款基本支出决算情况说明</w:t>
      </w:r>
    </w:p>
    <w:p w14:paraId="36AC416B">
      <w:pPr>
        <w:spacing w:line="580" w:lineRule="exact"/>
        <w:ind w:firstLine="640"/>
        <w:jc w:val="both"/>
      </w:pPr>
      <w:r>
        <w:rPr>
          <w:rFonts w:ascii="仿宋_GB2312" w:hAnsi="仿宋_GB2312" w:eastAsia="仿宋_GB2312"/>
          <w:b w:val="0"/>
          <w:sz w:val="32"/>
        </w:rPr>
        <w:t>2024年度一般公共预算财政拨款基本支出435.43万元，其中：</w:t>
      </w:r>
      <w:r>
        <w:rPr>
          <w:rFonts w:ascii="仿宋_GB2312" w:hAnsi="仿宋_GB2312" w:eastAsia="仿宋_GB2312"/>
          <w:b/>
          <w:sz w:val="32"/>
        </w:rPr>
        <w:t>人员经费431.84万元，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14:paraId="42FB28DC">
      <w:pPr>
        <w:spacing w:line="580" w:lineRule="exact"/>
        <w:ind w:firstLine="640"/>
        <w:jc w:val="both"/>
      </w:pPr>
      <w:r>
        <w:rPr>
          <w:rFonts w:ascii="仿宋_GB2312" w:hAnsi="仿宋_GB2312" w:eastAsia="仿宋_GB2312"/>
          <w:b/>
          <w:sz w:val="32"/>
        </w:rPr>
        <w:t>公用经费3.59万元，</w:t>
      </w:r>
      <w:r>
        <w:rPr>
          <w:rFonts w:ascii="仿宋_GB2312" w:hAnsi="仿宋_GB2312" w:eastAsia="仿宋_GB2312"/>
          <w:b w:val="0"/>
          <w:sz w:val="32"/>
        </w:rPr>
        <w:t>包括：办公费。</w:t>
      </w:r>
    </w:p>
    <w:p w14:paraId="77B9358E">
      <w:pPr>
        <w:spacing w:line="640" w:lineRule="exact"/>
        <w:ind w:firstLine="640"/>
        <w:jc w:val="both"/>
        <w:outlineLvl w:val="2"/>
      </w:pPr>
      <w:r>
        <w:rPr>
          <w:rFonts w:ascii="黑体" w:hAnsi="黑体" w:eastAsia="黑体"/>
          <w:sz w:val="32"/>
        </w:rPr>
        <w:t>七、政府性基金预算财政拨款收入支出决算情况说明</w:t>
      </w:r>
    </w:p>
    <w:p w14:paraId="4F16A08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CC9EB81">
      <w:pPr>
        <w:spacing w:line="640" w:lineRule="exact"/>
        <w:ind w:firstLine="640"/>
        <w:jc w:val="both"/>
        <w:outlineLvl w:val="2"/>
      </w:pPr>
      <w:r>
        <w:rPr>
          <w:rFonts w:ascii="黑体" w:hAnsi="黑体" w:eastAsia="黑体"/>
          <w:sz w:val="32"/>
        </w:rPr>
        <w:t>八、国有资本经营预算财政拨款收入支出决算情况说明</w:t>
      </w:r>
    </w:p>
    <w:p w14:paraId="7A91F34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66DBED4">
      <w:pPr>
        <w:spacing w:line="640" w:lineRule="exact"/>
        <w:ind w:firstLine="640"/>
        <w:jc w:val="both"/>
        <w:outlineLvl w:val="2"/>
      </w:pPr>
      <w:r>
        <w:rPr>
          <w:rFonts w:ascii="黑体" w:hAnsi="黑体" w:eastAsia="黑体"/>
          <w:sz w:val="32"/>
        </w:rPr>
        <w:t>九、财政拨款“三公”经费支出决算情况说明</w:t>
      </w:r>
    </w:p>
    <w:p w14:paraId="3F59E6B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0.50万元，下降100.00%，主要原因是：本年无公务用车，导致公务用车运行维护费较上年减少。其中：因公出国（境）费支出0.00万元，占0.00%，比上年增加0.00万元，增长0.00%，主要原因是：2023年与2024年均未安排因公出国（境）费支出。公务用车购置及运行维护费支出0.00万元，占0.00%，比上年减少0.50万元，下降100.00%，主要原因是：本年无公务用车，导致公务用车运行维护费较上年减少。公务接待费支出0.00万元，占0.00%，比上年增加0.00万元，增长0.00%，主要原因是：2023年与2024年均未安排公务接待费支出。</w:t>
      </w:r>
    </w:p>
    <w:p w14:paraId="1118C450">
      <w:pPr>
        <w:spacing w:line="580" w:lineRule="exact"/>
        <w:ind w:firstLine="640"/>
        <w:jc w:val="both"/>
      </w:pPr>
      <w:r>
        <w:rPr>
          <w:rFonts w:ascii="仿宋_GB2312" w:hAnsi="仿宋_GB2312" w:eastAsia="仿宋_GB2312"/>
          <w:b/>
          <w:sz w:val="32"/>
        </w:rPr>
        <w:t>具体情况如下：</w:t>
      </w:r>
    </w:p>
    <w:p w14:paraId="5FC53D3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484A4E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14:paraId="2BB52D8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51F5D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F2F19C9">
      <w:pPr>
        <w:spacing w:line="640" w:lineRule="exact"/>
        <w:ind w:firstLine="640"/>
        <w:jc w:val="both"/>
        <w:outlineLvl w:val="2"/>
      </w:pPr>
      <w:r>
        <w:rPr>
          <w:rFonts w:ascii="黑体" w:hAnsi="黑体" w:eastAsia="黑体"/>
          <w:sz w:val="32"/>
        </w:rPr>
        <w:t>十、其他重要事项的情况说明</w:t>
      </w:r>
    </w:p>
    <w:p w14:paraId="60ECB5CF">
      <w:pPr>
        <w:spacing w:line="640" w:lineRule="exact"/>
        <w:ind w:firstLine="640"/>
        <w:jc w:val="both"/>
        <w:outlineLvl w:val="3"/>
      </w:pPr>
      <w:r>
        <w:rPr>
          <w:rFonts w:ascii="楷体_GB2312" w:hAnsi="楷体_GB2312" w:eastAsia="楷体_GB2312"/>
          <w:b/>
          <w:sz w:val="32"/>
        </w:rPr>
        <w:t>（一）机关运行经费及公用经费支出情况</w:t>
      </w:r>
    </w:p>
    <w:p w14:paraId="46014E1A">
      <w:pPr>
        <w:spacing w:line="580" w:lineRule="exact"/>
        <w:ind w:firstLine="640"/>
        <w:jc w:val="both"/>
      </w:pPr>
      <w:r>
        <w:rPr>
          <w:rFonts w:ascii="仿宋_GB2312" w:hAnsi="仿宋_GB2312" w:eastAsia="仿宋_GB2312"/>
          <w:b w:val="0"/>
          <w:sz w:val="32"/>
        </w:rPr>
        <w:t>2024年度阿克陶县林业管理站（事业单位）公用经费支出3.59万元，比上年增加1.09万元，增长43.60%，主要原因是：本年更新、维护补充办公用品，导致公用经费较上年增加。</w:t>
      </w:r>
    </w:p>
    <w:p w14:paraId="13073BEC">
      <w:pPr>
        <w:spacing w:line="640" w:lineRule="exact"/>
        <w:ind w:firstLine="640"/>
        <w:jc w:val="both"/>
        <w:outlineLvl w:val="3"/>
      </w:pPr>
      <w:r>
        <w:rPr>
          <w:rFonts w:ascii="楷体_GB2312" w:hAnsi="楷体_GB2312" w:eastAsia="楷体_GB2312"/>
          <w:b/>
          <w:sz w:val="32"/>
        </w:rPr>
        <w:t>（二）政府采购情况</w:t>
      </w:r>
    </w:p>
    <w:p w14:paraId="4B7F628E">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8B6664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F8E9F10">
      <w:pPr>
        <w:spacing w:line="640" w:lineRule="exact"/>
        <w:ind w:firstLine="640"/>
        <w:jc w:val="both"/>
        <w:outlineLvl w:val="3"/>
      </w:pPr>
      <w:r>
        <w:rPr>
          <w:rFonts w:ascii="楷体_GB2312" w:hAnsi="楷体_GB2312" w:eastAsia="楷体_GB2312"/>
          <w:b/>
          <w:sz w:val="32"/>
        </w:rPr>
        <w:t>（三）国有资产占用情况说明</w:t>
      </w:r>
    </w:p>
    <w:p w14:paraId="4F2233C4">
      <w:pPr>
        <w:spacing w:line="580" w:lineRule="exact"/>
        <w:ind w:firstLine="640"/>
        <w:jc w:val="both"/>
      </w:pPr>
      <w:r>
        <w:rPr>
          <w:rFonts w:ascii="仿宋_GB2312" w:hAnsi="仿宋_GB2312" w:eastAsia="仿宋_GB2312"/>
          <w:b w:val="0"/>
          <w:sz w:val="32"/>
        </w:rPr>
        <w:t>截至2024年12月31日，房屋1,300.00平方米，价值58.62万元。车辆2辆，价值13.90万元，其中：副部（省）级及以上领导用车0辆、主要负责人用车0辆、机要通信用车0辆、应急保障用车0辆、执法执勤用车0辆、特种专业技术用车0辆、离退休干部服务用车0辆、其他用车2辆，其他用车主要是：外业调查的车辆。单价100万元（含）以上设备（不含车辆）0台（套）。</w:t>
      </w:r>
    </w:p>
    <w:p w14:paraId="40A6FC2D">
      <w:pPr>
        <w:spacing w:line="640" w:lineRule="exact"/>
        <w:ind w:firstLine="640"/>
        <w:jc w:val="both"/>
        <w:outlineLvl w:val="2"/>
      </w:pPr>
      <w:r>
        <w:rPr>
          <w:rFonts w:ascii="黑体" w:hAnsi="黑体" w:eastAsia="黑体"/>
          <w:sz w:val="32"/>
        </w:rPr>
        <w:t>十一、预算绩效的情况说明</w:t>
      </w:r>
    </w:p>
    <w:p w14:paraId="4B4552E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435.47万元，实际执行总额435.45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4E768EB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CB5FE38">
        <w:tc>
          <w:tcPr>
            <w:tcW w:w="8840" w:type="dxa"/>
            <w:gridSpan w:val="8"/>
            <w:vAlign w:val="center"/>
          </w:tcPr>
          <w:p w14:paraId="2CC24CCE">
            <w:pPr>
              <w:jc w:val="center"/>
            </w:pPr>
            <w:r>
              <w:rPr>
                <w:rFonts w:ascii="宋体" w:hAnsi="宋体" w:eastAsia="宋体"/>
                <w:sz w:val="24"/>
              </w:rPr>
              <w:t>单位整体支出绩效自评表</w:t>
            </w:r>
          </w:p>
        </w:tc>
      </w:tr>
      <w:tr w14:paraId="4CF9D907">
        <w:tblPrEx>
          <w:tblCellMar>
            <w:top w:w="0" w:type="dxa"/>
            <w:left w:w="108" w:type="dxa"/>
            <w:bottom w:w="0" w:type="dxa"/>
            <w:right w:w="108" w:type="dxa"/>
          </w:tblCellMar>
        </w:tblPrEx>
        <w:tc>
          <w:tcPr>
            <w:tcW w:w="8840" w:type="dxa"/>
            <w:gridSpan w:val="8"/>
            <w:vAlign w:val="center"/>
          </w:tcPr>
          <w:p w14:paraId="59149D86">
            <w:pPr>
              <w:jc w:val="center"/>
            </w:pPr>
            <w:r>
              <w:rPr>
                <w:rFonts w:ascii="宋体" w:hAnsi="宋体" w:eastAsia="宋体"/>
                <w:sz w:val="24"/>
              </w:rPr>
              <w:t>（2024年度）</w:t>
            </w:r>
          </w:p>
        </w:tc>
      </w:tr>
      <w:tr w14:paraId="177D554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BFB6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BF3DE">
            <w:pPr>
              <w:jc w:val="center"/>
            </w:pPr>
            <w:r>
              <w:rPr>
                <w:rFonts w:ascii="宋体" w:hAnsi="宋体" w:eastAsia="宋体"/>
                <w:sz w:val="16"/>
              </w:rPr>
              <w:t>阿克陶县林业管理站</w:t>
            </w:r>
          </w:p>
        </w:tc>
      </w:tr>
      <w:tr w14:paraId="764603C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9229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01F3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CF3A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C3A7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824E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5E4B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3A40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7F94A">
            <w:pPr>
              <w:jc w:val="center"/>
            </w:pPr>
            <w:r>
              <w:rPr>
                <w:rFonts w:ascii="宋体" w:hAnsi="宋体" w:eastAsia="宋体"/>
                <w:sz w:val="16"/>
              </w:rPr>
              <w:t>得分</w:t>
            </w:r>
          </w:p>
        </w:tc>
      </w:tr>
      <w:tr w14:paraId="1620B9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863D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5FB3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7BE3D">
            <w:pPr>
              <w:jc w:val="center"/>
            </w:pPr>
            <w:r>
              <w:rPr>
                <w:rFonts w:ascii="宋体" w:hAnsi="宋体" w:eastAsia="宋体"/>
                <w:sz w:val="16"/>
              </w:rPr>
              <w:t>468.14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2561B">
            <w:pPr>
              <w:jc w:val="center"/>
            </w:pPr>
            <w:r>
              <w:rPr>
                <w:rFonts w:ascii="宋体" w:hAnsi="宋体" w:eastAsia="宋体"/>
                <w:sz w:val="16"/>
              </w:rPr>
              <w:t>435.47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8E76B">
            <w:pPr>
              <w:jc w:val="center"/>
            </w:pPr>
            <w:r>
              <w:rPr>
                <w:rFonts w:ascii="宋体" w:hAnsi="宋体" w:eastAsia="宋体"/>
                <w:sz w:val="16"/>
              </w:rPr>
              <w:t>435.45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393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70D9E">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E01E5">
            <w:pPr>
              <w:jc w:val="center"/>
            </w:pPr>
            <w:r>
              <w:rPr>
                <w:rFonts w:ascii="宋体" w:hAnsi="宋体" w:eastAsia="宋体"/>
                <w:sz w:val="16"/>
              </w:rPr>
              <w:t>10</w:t>
            </w:r>
          </w:p>
        </w:tc>
      </w:tr>
      <w:tr w14:paraId="3B9DE8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ADEE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E070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3B68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31CF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B38E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504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4410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472464">
            <w:pPr>
              <w:jc w:val="center"/>
            </w:pPr>
            <w:r>
              <w:rPr>
                <w:rFonts w:ascii="宋体" w:hAnsi="宋体" w:eastAsia="宋体"/>
                <w:sz w:val="16"/>
              </w:rPr>
              <w:t>—</w:t>
            </w:r>
          </w:p>
        </w:tc>
      </w:tr>
      <w:tr w14:paraId="537F59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23CB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6EB9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C4DD9">
            <w:pPr>
              <w:jc w:val="center"/>
            </w:pPr>
            <w:r>
              <w:rPr>
                <w:rFonts w:ascii="宋体" w:hAnsi="宋体" w:eastAsia="宋体"/>
                <w:sz w:val="16"/>
              </w:rPr>
              <w:t>468.14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CF0CD">
            <w:pPr>
              <w:jc w:val="center"/>
            </w:pPr>
            <w:r>
              <w:rPr>
                <w:rFonts w:ascii="宋体" w:hAnsi="宋体" w:eastAsia="宋体"/>
                <w:sz w:val="16"/>
              </w:rPr>
              <w:t>435.47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F5EA9">
            <w:pPr>
              <w:jc w:val="center"/>
            </w:pPr>
            <w:r>
              <w:rPr>
                <w:rFonts w:ascii="宋体" w:hAnsi="宋体" w:eastAsia="宋体"/>
                <w:sz w:val="16"/>
              </w:rPr>
              <w:t>435.45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A9E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E9EE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21EE4">
            <w:pPr>
              <w:jc w:val="center"/>
            </w:pPr>
            <w:r>
              <w:rPr>
                <w:rFonts w:ascii="宋体" w:hAnsi="宋体" w:eastAsia="宋体"/>
                <w:sz w:val="16"/>
              </w:rPr>
              <w:t>—</w:t>
            </w:r>
          </w:p>
        </w:tc>
      </w:tr>
      <w:tr w14:paraId="7685BA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E700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D593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CB46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CB95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FAC1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B59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29F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3DFC8">
            <w:pPr>
              <w:jc w:val="center"/>
            </w:pPr>
            <w:r>
              <w:rPr>
                <w:rFonts w:ascii="宋体" w:hAnsi="宋体" w:eastAsia="宋体"/>
                <w:sz w:val="16"/>
              </w:rPr>
              <w:t>—</w:t>
            </w:r>
          </w:p>
        </w:tc>
      </w:tr>
      <w:tr w14:paraId="1A33914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EE01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1E3AE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815D11">
            <w:pPr>
              <w:jc w:val="center"/>
            </w:pPr>
            <w:r>
              <w:rPr>
                <w:rFonts w:ascii="宋体" w:hAnsi="宋体" w:eastAsia="宋体"/>
                <w:sz w:val="16"/>
              </w:rPr>
              <w:t>实际完成情况</w:t>
            </w:r>
          </w:p>
        </w:tc>
      </w:tr>
      <w:tr w14:paraId="39D455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657BA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ED60BB">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市重要任务之一，为了转变全市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6F8C12">
            <w:pPr>
              <w:jc w:val="both"/>
            </w:pPr>
            <w:r>
              <w:rPr>
                <w:rFonts w:ascii="宋体" w:hAnsi="宋体" w:eastAsia="宋体"/>
                <w:sz w:val="16"/>
              </w:rPr>
              <w:t>确保在职人员17人的工资、津贴、补贴、社保、医保、公积金等以及离退休人员49人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市重要任务之一，为了转变全市经济发展方式，促进经济持续健康发展，本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28C62FA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6A32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CF2C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0EB4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8E32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4C0A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A63D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C36F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640E6">
            <w:pPr>
              <w:jc w:val="center"/>
            </w:pPr>
            <w:r>
              <w:rPr>
                <w:rFonts w:ascii="宋体" w:hAnsi="宋体" w:eastAsia="宋体"/>
                <w:sz w:val="16"/>
              </w:rPr>
              <w:t>得分</w:t>
            </w:r>
          </w:p>
        </w:tc>
      </w:tr>
      <w:tr w14:paraId="217ED17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A02A7">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0429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543D2">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4AE14">
            <w:pPr>
              <w:jc w:val="center"/>
            </w:pPr>
            <w:r>
              <w:rPr>
                <w:rFonts w:ascii="宋体" w:hAnsi="宋体" w:eastAsia="宋体"/>
                <w:sz w:val="16"/>
              </w:rPr>
              <w:t>&gt;=18人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4EA81">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6636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F810A">
            <w:pPr>
              <w:jc w:val="center"/>
            </w:pPr>
            <w:r>
              <w:rPr>
                <w:rFonts w:ascii="宋体" w:hAnsi="宋体" w:eastAsia="宋体"/>
                <w:sz w:val="16"/>
              </w:rPr>
              <w:t>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7456F">
            <w:pPr>
              <w:jc w:val="center"/>
            </w:pPr>
            <w:r>
              <w:rPr>
                <w:rFonts w:ascii="宋体" w:hAnsi="宋体" w:eastAsia="宋体"/>
                <w:sz w:val="16"/>
              </w:rPr>
              <w:t>7.5</w:t>
            </w:r>
          </w:p>
        </w:tc>
      </w:tr>
      <w:tr w14:paraId="03CB56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9660A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6B6B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BAEEE">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17909">
            <w:pPr>
              <w:jc w:val="center"/>
            </w:pPr>
            <w:r>
              <w:rPr>
                <w:rFonts w:ascii="宋体" w:hAnsi="宋体" w:eastAsia="宋体"/>
                <w:sz w:val="16"/>
              </w:rPr>
              <w:t>&gt;=49人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AA07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425F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416E4">
            <w:pPr>
              <w:jc w:val="center"/>
            </w:pPr>
            <w:r>
              <w:rPr>
                <w:rFonts w:ascii="宋体" w:hAnsi="宋体" w:eastAsia="宋体"/>
                <w:sz w:val="16"/>
              </w:rPr>
              <w:t>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AFC00">
            <w:pPr>
              <w:jc w:val="center"/>
            </w:pPr>
            <w:r>
              <w:rPr>
                <w:rFonts w:ascii="宋体" w:hAnsi="宋体" w:eastAsia="宋体"/>
                <w:sz w:val="16"/>
              </w:rPr>
              <w:t>8</w:t>
            </w:r>
          </w:p>
        </w:tc>
      </w:tr>
      <w:tr w14:paraId="5C2EBE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4DE3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3AD3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B7C30">
            <w:pPr>
              <w:jc w:val="center"/>
            </w:pPr>
            <w:r>
              <w:rPr>
                <w:rFonts w:ascii="宋体" w:hAnsi="宋体" w:eastAsia="宋体"/>
                <w:sz w:val="16"/>
              </w:rPr>
              <w:t>人员工资福利支出预算保障供养人员人数（人）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DE646">
            <w:pPr>
              <w:jc w:val="center"/>
            </w:pPr>
            <w:r>
              <w:rPr>
                <w:rFonts w:ascii="宋体" w:hAnsi="宋体" w:eastAsia="宋体"/>
                <w:sz w:val="16"/>
              </w:rPr>
              <w:t>&gt;=9人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A2383">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FEEB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1F200">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1F253">
            <w:pPr>
              <w:jc w:val="center"/>
            </w:pPr>
            <w:r>
              <w:rPr>
                <w:rFonts w:ascii="宋体" w:hAnsi="宋体" w:eastAsia="宋体"/>
                <w:sz w:val="16"/>
              </w:rPr>
              <w:t>8</w:t>
            </w:r>
          </w:p>
        </w:tc>
      </w:tr>
      <w:tr w14:paraId="5E0167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9857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544F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FE5CB">
            <w:pPr>
              <w:jc w:val="center"/>
            </w:pPr>
            <w:r>
              <w:rPr>
                <w:rFonts w:ascii="宋体" w:hAnsi="宋体" w:eastAsia="宋体"/>
                <w:sz w:val="16"/>
              </w:rPr>
              <w:t>年度部门整体预算支出控制数（万元）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B12FD">
            <w:pPr>
              <w:jc w:val="center"/>
            </w:pPr>
            <w:r>
              <w:rPr>
                <w:rFonts w:ascii="宋体" w:hAnsi="宋体" w:eastAsia="宋体"/>
                <w:sz w:val="16"/>
              </w:rPr>
              <w:t>&lt;=468.14万元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9EDB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631D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8FBBA">
            <w:pPr>
              <w:jc w:val="center"/>
            </w:pPr>
            <w:r>
              <w:rPr>
                <w:rFonts w:ascii="宋体" w:hAnsi="宋体" w:eastAsia="宋体"/>
                <w:sz w:val="16"/>
              </w:rPr>
              <w:t>435.54万元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1E44F">
            <w:pPr>
              <w:jc w:val="center"/>
            </w:pPr>
            <w:r>
              <w:rPr>
                <w:rFonts w:ascii="宋体" w:hAnsi="宋体" w:eastAsia="宋体"/>
                <w:sz w:val="16"/>
              </w:rPr>
              <w:t>9.3</w:t>
            </w:r>
          </w:p>
        </w:tc>
      </w:tr>
      <w:tr w14:paraId="682E517A">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6F28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89F9B">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966EE">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18377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F5C82">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DA75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7032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FF371">
            <w:pPr>
              <w:jc w:val="center"/>
            </w:pPr>
            <w:r>
              <w:rPr>
                <w:rFonts w:ascii="宋体" w:hAnsi="宋体" w:eastAsia="宋体"/>
                <w:sz w:val="16"/>
              </w:rPr>
              <w:t>8</w:t>
            </w:r>
          </w:p>
        </w:tc>
      </w:tr>
      <w:tr w14:paraId="6803F3A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7EBCE">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4294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D0A6A">
            <w:pPr>
              <w:jc w:val="center"/>
            </w:pPr>
            <w:r>
              <w:rPr>
                <w:rFonts w:ascii="宋体" w:hAnsi="宋体" w:eastAsia="宋体"/>
                <w:sz w:val="16"/>
              </w:rPr>
              <w:t>提高林业管理水平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F41B9">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0457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89F0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8BB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44075">
            <w:pPr>
              <w:jc w:val="center"/>
            </w:pPr>
            <w:r>
              <w:rPr>
                <w:rFonts w:ascii="宋体" w:hAnsi="宋体" w:eastAsia="宋体"/>
                <w:sz w:val="16"/>
              </w:rPr>
              <w:t>10</w:t>
            </w:r>
          </w:p>
        </w:tc>
      </w:tr>
      <w:tr w14:paraId="608E42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64342">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D2DB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DF800">
            <w:pPr>
              <w:jc w:val="center"/>
            </w:pPr>
            <w:r>
              <w:rPr>
                <w:rFonts w:ascii="宋体" w:hAnsi="宋体" w:eastAsia="宋体"/>
                <w:sz w:val="16"/>
              </w:rPr>
              <w:t>完成春季义务植树面积（亩）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99DA2">
            <w:pPr>
              <w:jc w:val="center"/>
            </w:pPr>
            <w:r>
              <w:rPr>
                <w:rFonts w:ascii="宋体" w:hAnsi="宋体" w:eastAsia="宋体"/>
                <w:sz w:val="16"/>
              </w:rPr>
              <w:t>&gt;=221亩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171E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B284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F46BD">
            <w:pPr>
              <w:jc w:val="center"/>
            </w:pPr>
            <w:r>
              <w:rPr>
                <w:rFonts w:ascii="宋体" w:hAnsi="宋体" w:eastAsia="宋体"/>
                <w:sz w:val="16"/>
              </w:rPr>
              <w:t>221亩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26A90">
            <w:pPr>
              <w:jc w:val="center"/>
            </w:pPr>
            <w:r>
              <w:rPr>
                <w:rFonts w:ascii="宋体" w:hAnsi="宋体" w:eastAsia="宋体"/>
                <w:sz w:val="16"/>
              </w:rPr>
              <w:t>10</w:t>
            </w:r>
          </w:p>
        </w:tc>
      </w:tr>
      <w:tr w14:paraId="0969DB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A094C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55F3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E548B">
            <w:pPr>
              <w:jc w:val="center"/>
            </w:pPr>
            <w:r>
              <w:rPr>
                <w:rFonts w:ascii="宋体" w:hAnsi="宋体" w:eastAsia="宋体"/>
                <w:sz w:val="16"/>
              </w:rPr>
              <w:t>树苗检查验收合格率（%）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3996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998F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123E5">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7B7B8">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AAF6F">
            <w:pPr>
              <w:jc w:val="center"/>
            </w:pPr>
            <w:r>
              <w:rPr>
                <w:rFonts w:ascii="宋体" w:hAnsi="宋体" w:eastAsia="宋体"/>
                <w:sz w:val="16"/>
              </w:rPr>
              <w:t>9</w:t>
            </w:r>
          </w:p>
        </w:tc>
      </w:tr>
      <w:tr w14:paraId="02DD3DD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9040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2BC71">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D7ED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0100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E8BB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642D3">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AEB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21ABC">
            <w:pPr>
              <w:jc w:val="center"/>
            </w:pPr>
            <w:r>
              <w:rPr>
                <w:rFonts w:ascii="宋体" w:hAnsi="宋体" w:eastAsia="宋体"/>
                <w:sz w:val="16"/>
              </w:rPr>
              <w:t>9</w:t>
            </w:r>
          </w:p>
        </w:tc>
      </w:tr>
      <w:tr w14:paraId="618C78C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05A6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B93D9">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1DEF3">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0D0C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47865">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A7331">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61E8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ADC15">
            <w:pPr>
              <w:jc w:val="center"/>
            </w:pPr>
            <w:r>
              <w:rPr>
                <w:rFonts w:ascii="宋体" w:hAnsi="宋体" w:eastAsia="宋体"/>
                <w:sz w:val="16"/>
              </w:rPr>
              <w:t>5</w:t>
            </w:r>
          </w:p>
        </w:tc>
      </w:tr>
      <w:tr w14:paraId="2DFEEC5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BE9D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2ED0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36839">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664E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DFD6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5D87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210E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50024">
            <w:pPr>
              <w:jc w:val="center"/>
            </w:pPr>
            <w:r>
              <w:rPr>
                <w:rFonts w:ascii="宋体" w:hAnsi="宋体" w:eastAsia="宋体"/>
                <w:sz w:val="16"/>
              </w:rPr>
              <w:t>5</w:t>
            </w:r>
          </w:p>
        </w:tc>
      </w:tr>
    </w:tbl>
    <w:p w14:paraId="0CAD3637">
      <w:r>
        <w:br w:type="page"/>
      </w:r>
    </w:p>
    <w:p w14:paraId="661497B9">
      <w:pPr>
        <w:spacing w:line="640" w:lineRule="exact"/>
        <w:ind w:firstLine="640"/>
        <w:jc w:val="both"/>
        <w:outlineLvl w:val="2"/>
      </w:pPr>
      <w:r>
        <w:rPr>
          <w:rFonts w:ascii="黑体" w:hAnsi="黑体" w:eastAsia="黑体"/>
          <w:sz w:val="32"/>
        </w:rPr>
        <w:t>十二、其他需说明的事项</w:t>
      </w:r>
    </w:p>
    <w:p w14:paraId="5673AB7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73F6439">
      <w:r>
        <w:br w:type="page"/>
      </w:r>
    </w:p>
    <w:p w14:paraId="47E8FBFA">
      <w:pPr>
        <w:spacing w:line="240" w:lineRule="auto"/>
        <w:jc w:val="center"/>
        <w:outlineLvl w:val="1"/>
      </w:pPr>
      <w:r>
        <w:rPr>
          <w:rFonts w:ascii="黑体" w:hAnsi="黑体" w:eastAsia="黑体"/>
          <w:sz w:val="32"/>
        </w:rPr>
        <w:t>第三部分 专业名词解释</w:t>
      </w:r>
    </w:p>
    <w:p w14:paraId="295BF82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A0FBC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D55FA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80AB8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AB529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89322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4C75A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42242E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AE8FE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E1C3F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B511D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DB62D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74A84C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78B65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51F545">
      <w:r>
        <w:br w:type="page"/>
      </w:r>
    </w:p>
    <w:p w14:paraId="3BFFF6D0">
      <w:pPr>
        <w:spacing w:line="240" w:lineRule="auto"/>
        <w:jc w:val="center"/>
        <w:outlineLvl w:val="1"/>
      </w:pPr>
      <w:r>
        <w:rPr>
          <w:rFonts w:ascii="黑体" w:hAnsi="黑体" w:eastAsia="黑体"/>
          <w:sz w:val="32"/>
        </w:rPr>
        <w:t>第四部分 部门决算报表（见附表）</w:t>
      </w:r>
    </w:p>
    <w:p w14:paraId="20DF85E7">
      <w:pPr>
        <w:spacing w:line="240" w:lineRule="auto"/>
        <w:ind w:firstLine="640"/>
        <w:jc w:val="both"/>
      </w:pPr>
      <w:r>
        <w:rPr>
          <w:rFonts w:ascii="仿宋_GB2312" w:hAnsi="仿宋_GB2312" w:eastAsia="仿宋_GB2312"/>
          <w:b w:val="0"/>
          <w:sz w:val="32"/>
        </w:rPr>
        <w:t>一、《收入支出决算总表》</w:t>
      </w:r>
    </w:p>
    <w:p w14:paraId="0C91875F">
      <w:pPr>
        <w:spacing w:line="240" w:lineRule="auto"/>
        <w:ind w:firstLine="640"/>
        <w:jc w:val="both"/>
      </w:pPr>
      <w:r>
        <w:rPr>
          <w:rFonts w:ascii="仿宋_GB2312" w:hAnsi="仿宋_GB2312" w:eastAsia="仿宋_GB2312"/>
          <w:b w:val="0"/>
          <w:sz w:val="32"/>
        </w:rPr>
        <w:t>二、《收入决算表》</w:t>
      </w:r>
    </w:p>
    <w:p w14:paraId="5D63EC61">
      <w:pPr>
        <w:spacing w:line="240" w:lineRule="auto"/>
        <w:ind w:firstLine="640"/>
        <w:jc w:val="both"/>
      </w:pPr>
      <w:r>
        <w:rPr>
          <w:rFonts w:ascii="仿宋_GB2312" w:hAnsi="仿宋_GB2312" w:eastAsia="仿宋_GB2312"/>
          <w:b w:val="0"/>
          <w:sz w:val="32"/>
        </w:rPr>
        <w:t>三、《支出决算表》</w:t>
      </w:r>
    </w:p>
    <w:p w14:paraId="5F4E231A">
      <w:pPr>
        <w:spacing w:line="240" w:lineRule="auto"/>
        <w:ind w:firstLine="640"/>
        <w:jc w:val="both"/>
      </w:pPr>
      <w:r>
        <w:rPr>
          <w:rFonts w:ascii="仿宋_GB2312" w:hAnsi="仿宋_GB2312" w:eastAsia="仿宋_GB2312"/>
          <w:b w:val="0"/>
          <w:sz w:val="32"/>
        </w:rPr>
        <w:t>四、《财政拨款收入支出决算总表》</w:t>
      </w:r>
    </w:p>
    <w:p w14:paraId="713996F0">
      <w:pPr>
        <w:spacing w:line="240" w:lineRule="auto"/>
        <w:ind w:firstLine="640"/>
        <w:jc w:val="both"/>
      </w:pPr>
      <w:r>
        <w:rPr>
          <w:rFonts w:ascii="仿宋_GB2312" w:hAnsi="仿宋_GB2312" w:eastAsia="仿宋_GB2312"/>
          <w:b w:val="0"/>
          <w:sz w:val="32"/>
        </w:rPr>
        <w:t>五、《一般公共预算财政拨款支出决算表》</w:t>
      </w:r>
    </w:p>
    <w:p w14:paraId="65C55FBF">
      <w:pPr>
        <w:spacing w:line="240" w:lineRule="auto"/>
        <w:ind w:firstLine="640"/>
        <w:jc w:val="both"/>
      </w:pPr>
      <w:r>
        <w:rPr>
          <w:rFonts w:ascii="仿宋_GB2312" w:hAnsi="仿宋_GB2312" w:eastAsia="仿宋_GB2312"/>
          <w:b w:val="0"/>
          <w:sz w:val="32"/>
        </w:rPr>
        <w:t>六、《一般公共预算财政拨款基本支出决算表》</w:t>
      </w:r>
    </w:p>
    <w:p w14:paraId="2B38D758">
      <w:pPr>
        <w:spacing w:line="240" w:lineRule="auto"/>
        <w:ind w:firstLine="640"/>
        <w:jc w:val="both"/>
      </w:pPr>
      <w:r>
        <w:rPr>
          <w:rFonts w:ascii="仿宋_GB2312" w:hAnsi="仿宋_GB2312" w:eastAsia="仿宋_GB2312"/>
          <w:b w:val="0"/>
          <w:sz w:val="32"/>
        </w:rPr>
        <w:t>七、《政府性基金预算财政拨款收入支出决算表》</w:t>
      </w:r>
    </w:p>
    <w:p w14:paraId="4BDE1F3C">
      <w:pPr>
        <w:spacing w:line="240" w:lineRule="auto"/>
        <w:ind w:firstLine="640"/>
        <w:jc w:val="both"/>
      </w:pPr>
      <w:r>
        <w:rPr>
          <w:rFonts w:ascii="仿宋_GB2312" w:hAnsi="仿宋_GB2312" w:eastAsia="仿宋_GB2312"/>
          <w:b w:val="0"/>
          <w:sz w:val="32"/>
        </w:rPr>
        <w:t>八、《国有资本经营预算财政拨款收入支出决算表》</w:t>
      </w:r>
    </w:p>
    <w:p w14:paraId="74DFFFA3">
      <w:pPr>
        <w:spacing w:line="240" w:lineRule="auto"/>
        <w:ind w:firstLine="640"/>
        <w:jc w:val="both"/>
      </w:pPr>
      <w:r>
        <w:rPr>
          <w:rFonts w:ascii="仿宋_GB2312" w:hAnsi="仿宋_GB2312" w:eastAsia="仿宋_GB2312"/>
          <w:b w:val="0"/>
          <w:sz w:val="32"/>
        </w:rPr>
        <w:t>九、《财政拨款“三公”经费支出决算表》</w:t>
      </w:r>
    </w:p>
    <w:p w14:paraId="5AE423B7">
      <w:pPr>
        <w:spacing w:line="240" w:lineRule="auto"/>
        <w:ind w:firstLine="640"/>
        <w:jc w:val="both"/>
      </w:pPr>
    </w:p>
    <w:p w14:paraId="42E0EE60">
      <w:pPr>
        <w:spacing w:line="240" w:lineRule="auto"/>
        <w:ind w:firstLine="640"/>
        <w:jc w:val="both"/>
      </w:pPr>
    </w:p>
    <w:p w14:paraId="417F2792">
      <w:pPr>
        <w:spacing w:line="240" w:lineRule="auto"/>
        <w:ind w:firstLine="640"/>
        <w:jc w:val="both"/>
      </w:pPr>
    </w:p>
    <w:p w14:paraId="62B66809">
      <w:pPr>
        <w:spacing w:line="240" w:lineRule="auto"/>
        <w:ind w:firstLine="640"/>
        <w:jc w:val="both"/>
      </w:pPr>
    </w:p>
    <w:p w14:paraId="3C416B5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763626-4472-4581-83A6-F7B8AD6CC1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9E1E43A-573B-44A2-810E-02BC86D9026B}"/>
  </w:font>
  <w:font w:name="仿宋_GB2312">
    <w:panose1 w:val="02010609030101010101"/>
    <w:charset w:val="86"/>
    <w:family w:val="modern"/>
    <w:pitch w:val="default"/>
    <w:sig w:usb0="00000001" w:usb1="080E0000" w:usb2="00000000" w:usb3="00000000" w:csb0="00040000" w:csb1="00000000"/>
    <w:embedRegular r:id="rId3" w:fontKey="{DDAC17FF-358B-4041-8778-1C6F676447BB}"/>
  </w:font>
  <w:font w:name="楷体_GB2312">
    <w:panose1 w:val="02010609030101010101"/>
    <w:charset w:val="86"/>
    <w:family w:val="auto"/>
    <w:pitch w:val="default"/>
    <w:sig w:usb0="00000001" w:usb1="080E0000" w:usb2="00000000" w:usb3="00000000" w:csb0="00040000" w:csb1="00000000"/>
    <w:embedRegular r:id="rId4" w:fontKey="{3A71A01E-E94C-4EE9-89E7-8D42DA152F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400CAF"/>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A770F"/>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4319</Words>
  <Characters>4953</Characters>
  <Lines>0</Lines>
  <Paragraphs>0</Paragraphs>
  <TotalTime>4</TotalTime>
  <ScaleCrop>false</ScaleCrop>
  <LinksUpToDate>false</LinksUpToDate>
  <CharactersWithSpaces>4961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2025-09-15T09:02:27Z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