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EDDF0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阿克陶县林业有害生物防治检疫局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64CC8C">
      <w:r>
        <w:br w:type="page"/>
      </w:r>
    </w:p>
    <w:p w14:paraId="45428AA8">
      <w:pPr>
        <w:spacing w:line="640" w:lineRule="exact"/>
        <w:jc w:val="center"/>
        <w:outlineLvl w:val="1"/>
      </w:pPr>
      <w:r>
        <w:rPr>
          <w:rFonts w:ascii="黑体" w:hAnsi="黑体" w:eastAsia="黑体"/>
          <w:sz w:val="32"/>
        </w:rPr>
        <w:t>第一部分 单位概况</w:t>
      </w:r>
    </w:p>
    <w:p w14:paraId="583909D1">
      <w:pPr>
        <w:spacing w:line="640" w:lineRule="exact"/>
        <w:ind w:firstLine="640"/>
        <w:jc w:val="both"/>
        <w:outlineLvl w:val="2"/>
      </w:pPr>
      <w:r>
        <w:rPr>
          <w:rFonts w:ascii="黑体" w:hAnsi="黑体" w:eastAsia="黑体"/>
          <w:sz w:val="32"/>
        </w:rPr>
        <w:t>一、主要职能</w:t>
      </w:r>
    </w:p>
    <w:p w14:paraId="2AD3310A">
      <w:pPr>
        <w:spacing w:line="580" w:lineRule="exact"/>
        <w:ind w:firstLine="640"/>
        <w:jc w:val="both"/>
      </w:pPr>
      <w:r>
        <w:rPr>
          <w:rFonts w:ascii="仿宋_GB2312" w:hAnsi="仿宋_GB2312" w:eastAsia="仿宋_GB2312"/>
          <w:sz w:val="32"/>
        </w:rPr>
        <w:t>依法实施《植物检疫条例》及《植物检疫条例实施细则》（林业部分）和《森林病虫害防治条例》,承担森林植物及其产品的产地检疫、调运检疫和现场</w:t>
      </w:r>
      <w:r>
        <w:rPr>
          <w:rFonts w:hint="eastAsia" w:ascii="仿宋_GB2312" w:hAnsi="仿宋_GB2312" w:eastAsia="仿宋_GB2312"/>
          <w:sz w:val="32"/>
          <w:lang w:eastAsia="zh-CN"/>
        </w:rPr>
        <w:t>检疫</w:t>
      </w:r>
      <w:r>
        <w:rPr>
          <w:rFonts w:ascii="仿宋_GB2312" w:hAnsi="仿宋_GB2312" w:eastAsia="仿宋_GB2312"/>
          <w:sz w:val="32"/>
        </w:rPr>
        <w:t>任务，对调入森林植物及其产品实施复检,承担林业有害生物的动态监测、预防并组织防治和进行技术指导，为控制林业有害生物提供测报依据,承担全县林业有害生物专业技术队伍的组织培训工作，主要林业有害生物防治检疫知识的宣传工作,承担全县林业有害生物普查工作,承担我县范围内的八个“自治区级林业有害生物监测站”管理和正常运行工作,承办州、县林业行政主管部门交办的其他事项。</w:t>
      </w:r>
    </w:p>
    <w:p w14:paraId="24BDD953">
      <w:pPr>
        <w:spacing w:line="640" w:lineRule="exact"/>
        <w:ind w:firstLine="640"/>
        <w:jc w:val="both"/>
        <w:outlineLvl w:val="2"/>
      </w:pPr>
      <w:r>
        <w:rPr>
          <w:rFonts w:ascii="黑体" w:hAnsi="黑体" w:eastAsia="黑体"/>
          <w:sz w:val="32"/>
        </w:rPr>
        <w:t>二、机构设置及人员情况</w:t>
      </w:r>
    </w:p>
    <w:p w14:paraId="1D80F931">
      <w:pPr>
        <w:spacing w:line="580" w:lineRule="exact"/>
        <w:ind w:firstLine="640"/>
        <w:jc w:val="both"/>
      </w:pPr>
      <w:r>
        <w:rPr>
          <w:rFonts w:ascii="仿宋_GB2312" w:hAnsi="仿宋_GB2312" w:eastAsia="仿宋_GB2312"/>
          <w:sz w:val="32"/>
        </w:rPr>
        <w:t>阿克陶县林业有害生物防治检疫局2024年度，实有人数10人，其中：在职人员8人，增加0人；离休人员0人，增加0人；退休人员2人,增加0人。</w:t>
      </w:r>
    </w:p>
    <w:p w14:paraId="6D61C743">
      <w:pPr>
        <w:spacing w:line="580" w:lineRule="exact"/>
        <w:ind w:firstLine="640"/>
        <w:jc w:val="both"/>
      </w:pPr>
      <w:r>
        <w:rPr>
          <w:rFonts w:ascii="仿宋_GB2312" w:hAnsi="仿宋_GB2312" w:eastAsia="仿宋_GB2312"/>
          <w:sz w:val="32"/>
        </w:rPr>
        <w:t>阿克陶县林业有害生物防治检疫局无下属预算单位，下设1个科室，分别是：办公室。</w:t>
      </w:r>
    </w:p>
    <w:p w14:paraId="17D7243C">
      <w:r>
        <w:br w:type="page"/>
      </w:r>
    </w:p>
    <w:p w14:paraId="7162CE93">
      <w:pPr>
        <w:spacing w:line="240" w:lineRule="auto"/>
        <w:jc w:val="center"/>
        <w:outlineLvl w:val="1"/>
      </w:pPr>
      <w:r>
        <w:rPr>
          <w:rFonts w:ascii="黑体" w:hAnsi="黑体" w:eastAsia="黑体"/>
          <w:sz w:val="32"/>
        </w:rPr>
        <w:t>第二部分 部门决算情况说明</w:t>
      </w:r>
    </w:p>
    <w:p w14:paraId="4AEA39C8">
      <w:pPr>
        <w:spacing w:line="640" w:lineRule="exact"/>
        <w:ind w:firstLine="640"/>
        <w:jc w:val="both"/>
        <w:outlineLvl w:val="2"/>
      </w:pPr>
      <w:r>
        <w:rPr>
          <w:rFonts w:ascii="黑体" w:hAnsi="黑体" w:eastAsia="黑体"/>
          <w:sz w:val="32"/>
        </w:rPr>
        <w:t>一、收入支出决算总体情况说明</w:t>
      </w:r>
    </w:p>
    <w:p w14:paraId="050CDC23">
      <w:pPr>
        <w:spacing w:line="580" w:lineRule="exact"/>
        <w:ind w:firstLine="640"/>
        <w:jc w:val="both"/>
      </w:pPr>
      <w:r>
        <w:rPr>
          <w:rFonts w:ascii="仿宋_GB2312" w:hAnsi="仿宋_GB2312" w:eastAsia="仿宋_GB2312"/>
          <w:b/>
          <w:sz w:val="32"/>
        </w:rPr>
        <w:t>2024年度收入总计242.21万元，</w:t>
      </w:r>
      <w:r>
        <w:rPr>
          <w:rFonts w:ascii="仿宋_GB2312" w:hAnsi="仿宋_GB2312" w:eastAsia="仿宋_GB2312"/>
          <w:b w:val="0"/>
          <w:sz w:val="32"/>
        </w:rPr>
        <w:t>其中：本年收入合计239.78万元，使用非财政拨款结余（含专用结余）0.00万元，年初结转和结余2.43万元。</w:t>
      </w:r>
    </w:p>
    <w:p w14:paraId="31DCF981">
      <w:pPr>
        <w:spacing w:line="580" w:lineRule="exact"/>
        <w:ind w:firstLine="640"/>
        <w:jc w:val="both"/>
      </w:pPr>
      <w:r>
        <w:rPr>
          <w:rFonts w:ascii="仿宋_GB2312" w:hAnsi="仿宋_GB2312" w:eastAsia="仿宋_GB2312"/>
          <w:b/>
          <w:sz w:val="32"/>
        </w:rPr>
        <w:t>2024年度支出总计242.21万元，</w:t>
      </w:r>
      <w:r>
        <w:rPr>
          <w:rFonts w:ascii="仿宋_GB2312" w:hAnsi="仿宋_GB2312" w:eastAsia="仿宋_GB2312"/>
          <w:b w:val="0"/>
          <w:sz w:val="32"/>
        </w:rPr>
        <w:t>其中：本年支出合计239.81万元，结余分配0.00万元，年末结转和结余2.39万元。</w:t>
      </w:r>
    </w:p>
    <w:p w14:paraId="7ECA5311">
      <w:pPr>
        <w:spacing w:line="580" w:lineRule="exact"/>
        <w:ind w:firstLine="640"/>
        <w:jc w:val="both"/>
      </w:pPr>
      <w:r>
        <w:rPr>
          <w:rFonts w:ascii="仿宋_GB2312" w:hAnsi="仿宋_GB2312" w:eastAsia="仿宋_GB2312"/>
          <w:b w:val="0"/>
          <w:sz w:val="32"/>
        </w:rPr>
        <w:t>收入支出总体与上年相比，减少5.43万元，下降2.19%，主要原因是：本年人员调入调出，人员工资基数不同，导致工资等相关人员经费减少。</w:t>
      </w:r>
    </w:p>
    <w:p w14:paraId="3D3E85D5">
      <w:pPr>
        <w:spacing w:line="640" w:lineRule="exact"/>
        <w:ind w:firstLine="640"/>
        <w:jc w:val="both"/>
        <w:outlineLvl w:val="2"/>
      </w:pPr>
      <w:r>
        <w:rPr>
          <w:rFonts w:ascii="黑体" w:hAnsi="黑体" w:eastAsia="黑体"/>
          <w:sz w:val="32"/>
        </w:rPr>
        <w:t>二、收入决算情况说明</w:t>
      </w:r>
    </w:p>
    <w:p w14:paraId="5819660C">
      <w:pPr>
        <w:spacing w:line="580" w:lineRule="exact"/>
        <w:ind w:firstLine="640"/>
        <w:jc w:val="both"/>
      </w:pPr>
      <w:r>
        <w:rPr>
          <w:rFonts w:ascii="仿宋_GB2312" w:hAnsi="仿宋_GB2312" w:eastAsia="仿宋_GB2312"/>
          <w:b/>
          <w:sz w:val="32"/>
        </w:rPr>
        <w:t>本年收入239.78万元，</w:t>
      </w:r>
      <w:r>
        <w:rPr>
          <w:rFonts w:ascii="仿宋_GB2312" w:hAnsi="仿宋_GB2312" w:eastAsia="仿宋_GB2312"/>
          <w:b w:val="0"/>
          <w:sz w:val="32"/>
        </w:rPr>
        <w:t>其中：财政拨款收入239.76万元，占99.99%；上级补助收入0.00万元，占0.00%；事业收入0.00万元，占0.00%；经营收入0.00万元，占0.00%；附属单位上缴收入0.00万元，占0.00%；其他收入0.01万元，占0.004%。</w:t>
      </w:r>
    </w:p>
    <w:p w14:paraId="1DF19437">
      <w:pPr>
        <w:spacing w:line="640" w:lineRule="exact"/>
        <w:ind w:firstLine="640"/>
        <w:jc w:val="both"/>
        <w:outlineLvl w:val="2"/>
      </w:pPr>
      <w:r>
        <w:rPr>
          <w:rFonts w:ascii="黑体" w:hAnsi="黑体" w:eastAsia="黑体"/>
          <w:sz w:val="32"/>
        </w:rPr>
        <w:t>三、支出决算情况说明</w:t>
      </w:r>
    </w:p>
    <w:p w14:paraId="3DE6B793">
      <w:pPr>
        <w:spacing w:line="580" w:lineRule="exact"/>
        <w:ind w:firstLine="640"/>
        <w:jc w:val="both"/>
      </w:pPr>
      <w:r>
        <w:rPr>
          <w:rFonts w:ascii="仿宋_GB2312" w:hAnsi="仿宋_GB2312" w:eastAsia="仿宋_GB2312"/>
          <w:b/>
          <w:sz w:val="32"/>
        </w:rPr>
        <w:t>本年支出239.81万元，</w:t>
      </w:r>
      <w:r>
        <w:rPr>
          <w:rFonts w:ascii="仿宋_GB2312" w:hAnsi="仿宋_GB2312" w:eastAsia="仿宋_GB2312"/>
          <w:b w:val="0"/>
          <w:sz w:val="32"/>
        </w:rPr>
        <w:t>其中：基本支出169.81万元，占70.81%；项目支出70.00万元，占29.19%；上缴上级支出0.00万元，占0.00%；经营支出0.00万元，占0.00%；对附属单位补助支出0.00万元，占0.00%。</w:t>
      </w:r>
    </w:p>
    <w:p w14:paraId="7E63D219">
      <w:pPr>
        <w:spacing w:line="640" w:lineRule="exact"/>
        <w:ind w:firstLine="640"/>
        <w:jc w:val="both"/>
        <w:outlineLvl w:val="2"/>
      </w:pPr>
      <w:r>
        <w:rPr>
          <w:rFonts w:ascii="黑体" w:hAnsi="黑体" w:eastAsia="黑体"/>
          <w:sz w:val="32"/>
        </w:rPr>
        <w:t>四、财政拨款收入支出决算总体情况说明</w:t>
      </w:r>
    </w:p>
    <w:p w14:paraId="464C0396">
      <w:pPr>
        <w:spacing w:line="580" w:lineRule="exact"/>
        <w:ind w:firstLine="640"/>
        <w:jc w:val="both"/>
      </w:pPr>
      <w:r>
        <w:rPr>
          <w:rFonts w:ascii="仿宋_GB2312" w:hAnsi="仿宋_GB2312" w:eastAsia="仿宋_GB2312"/>
          <w:b/>
          <w:sz w:val="32"/>
        </w:rPr>
        <w:t>2024年度财政拨款收入总计239.76万元，</w:t>
      </w:r>
      <w:r>
        <w:rPr>
          <w:rFonts w:ascii="仿宋_GB2312" w:hAnsi="仿宋_GB2312" w:eastAsia="仿宋_GB2312"/>
          <w:b w:val="0"/>
          <w:sz w:val="32"/>
        </w:rPr>
        <w:t>其中：年初财政拨款结转和结余0.00万元，本年财政拨款收入239.76万元。</w:t>
      </w:r>
      <w:r>
        <w:rPr>
          <w:rFonts w:ascii="仿宋_GB2312" w:hAnsi="仿宋_GB2312" w:eastAsia="仿宋_GB2312"/>
          <w:b/>
          <w:sz w:val="32"/>
        </w:rPr>
        <w:t>财政拨款支出总计239.76万元，</w:t>
      </w:r>
      <w:r>
        <w:rPr>
          <w:rFonts w:ascii="仿宋_GB2312" w:hAnsi="仿宋_GB2312" w:eastAsia="仿宋_GB2312"/>
          <w:b w:val="0"/>
          <w:sz w:val="32"/>
        </w:rPr>
        <w:t>其中：年末财政拨款结转和结余0.00万元，本年财政拨款支出239.76万元。</w:t>
      </w:r>
    </w:p>
    <w:p w14:paraId="02E706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减少5.40万元，下降2.20%，主要原因是：本年人员调入调出，人员工资基数不同，导致工资等相关人员经费减少。</w:t>
      </w:r>
      <w:r>
        <w:rPr>
          <w:rFonts w:ascii="仿宋_GB2312" w:hAnsi="仿宋_GB2312" w:eastAsia="仿宋_GB2312"/>
          <w:b/>
          <w:sz w:val="32"/>
        </w:rPr>
        <w:t>与年初预算相比，</w:t>
      </w:r>
      <w:r>
        <w:rPr>
          <w:rFonts w:ascii="仿宋_GB2312" w:hAnsi="仿宋_GB2312" w:eastAsia="仿宋_GB2312"/>
          <w:b w:val="0"/>
          <w:sz w:val="32"/>
        </w:rPr>
        <w:t>年初预算数264.59万元，决算数239.76万元，预决算差异率-9.38%，主要原因是：本年人员调入调出，人员工资基数不同，年中调减人员经费，导致预决算存在差异。</w:t>
      </w:r>
    </w:p>
    <w:p w14:paraId="5283DD63">
      <w:pPr>
        <w:spacing w:line="640" w:lineRule="exact"/>
        <w:ind w:firstLine="640"/>
        <w:jc w:val="both"/>
        <w:outlineLvl w:val="2"/>
      </w:pPr>
      <w:r>
        <w:rPr>
          <w:rFonts w:ascii="黑体" w:hAnsi="黑体" w:eastAsia="黑体"/>
          <w:sz w:val="32"/>
        </w:rPr>
        <w:t>五、一般公共预算财政拨款支出决算情况说明</w:t>
      </w:r>
    </w:p>
    <w:p w14:paraId="7399E4C4">
      <w:pPr>
        <w:spacing w:line="640" w:lineRule="exact"/>
        <w:ind w:firstLine="640"/>
        <w:jc w:val="both"/>
        <w:outlineLvl w:val="3"/>
      </w:pPr>
      <w:r>
        <w:rPr>
          <w:rFonts w:ascii="楷体_GB2312" w:hAnsi="楷体_GB2312" w:eastAsia="楷体_GB2312"/>
          <w:b/>
          <w:sz w:val="32"/>
        </w:rPr>
        <w:t>（一）一般公共预算财政拨款支出决算总体情况</w:t>
      </w:r>
    </w:p>
    <w:p w14:paraId="244A7F7C">
      <w:pPr>
        <w:spacing w:line="580" w:lineRule="exact"/>
        <w:ind w:firstLine="640"/>
        <w:jc w:val="both"/>
      </w:pPr>
      <w:r>
        <w:rPr>
          <w:rFonts w:ascii="仿宋_GB2312" w:hAnsi="仿宋_GB2312" w:eastAsia="仿宋_GB2312"/>
          <w:b/>
          <w:sz w:val="32"/>
        </w:rPr>
        <w:t>2024年度一般公共预算财政拨款支出239.76万元，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减少5.40万元，下降2.20%，主要原因是：本年人员调入调出，人员工资基数不同，导致工资等相关人员经费减少。</w:t>
      </w:r>
      <w:r>
        <w:rPr>
          <w:rFonts w:ascii="仿宋_GB2312" w:hAnsi="仿宋_GB2312" w:eastAsia="仿宋_GB2312"/>
          <w:b/>
          <w:sz w:val="32"/>
        </w:rPr>
        <w:t>与年初预算相比,</w:t>
      </w:r>
      <w:r>
        <w:rPr>
          <w:rFonts w:ascii="仿宋_GB2312" w:hAnsi="仿宋_GB2312" w:eastAsia="仿宋_GB2312"/>
          <w:b w:val="0"/>
          <w:sz w:val="32"/>
        </w:rPr>
        <w:t>年初预算数264.59万元，决算数239.76万元，预决算差异率-9.38%，主要原因是：本年人员调入调出，人员工资基数不同，年中调减人员经费，导致预决算存在差异。</w:t>
      </w:r>
    </w:p>
    <w:p w14:paraId="723ACFFE">
      <w:pPr>
        <w:spacing w:line="640" w:lineRule="exact"/>
        <w:ind w:firstLine="640"/>
        <w:jc w:val="both"/>
        <w:outlineLvl w:val="3"/>
      </w:pPr>
      <w:r>
        <w:rPr>
          <w:rFonts w:ascii="楷体_GB2312" w:hAnsi="楷体_GB2312" w:eastAsia="楷体_GB2312"/>
          <w:b/>
          <w:sz w:val="32"/>
        </w:rPr>
        <w:t>（二）一般公共预算财政拨款支出决算结构情况</w:t>
      </w:r>
    </w:p>
    <w:p w14:paraId="53D99B4E">
      <w:pPr>
        <w:spacing w:line="580" w:lineRule="exact"/>
        <w:ind w:firstLine="640"/>
        <w:jc w:val="both"/>
      </w:pPr>
      <w:r>
        <w:rPr>
          <w:rFonts w:ascii="仿宋_GB2312" w:hAnsi="仿宋_GB2312" w:eastAsia="仿宋_GB2312"/>
          <w:b w:val="0"/>
          <w:sz w:val="32"/>
        </w:rPr>
        <w:t>1.社会保障和就业支出(类)20.00万元,占8.34%。</w:t>
      </w:r>
    </w:p>
    <w:p w14:paraId="2DA2B36B">
      <w:pPr>
        <w:spacing w:line="580" w:lineRule="exact"/>
        <w:ind w:firstLine="640"/>
        <w:jc w:val="both"/>
      </w:pPr>
      <w:r>
        <w:rPr>
          <w:rFonts w:ascii="仿宋_GB2312" w:hAnsi="仿宋_GB2312" w:eastAsia="仿宋_GB2312"/>
          <w:b w:val="0"/>
          <w:sz w:val="32"/>
        </w:rPr>
        <w:t>2.卫生健康支出(类)6.42万元,占2.68%。</w:t>
      </w:r>
    </w:p>
    <w:p w14:paraId="79D74960">
      <w:pPr>
        <w:spacing w:line="580" w:lineRule="exact"/>
        <w:ind w:firstLine="640"/>
        <w:jc w:val="both"/>
      </w:pPr>
      <w:r>
        <w:rPr>
          <w:rFonts w:ascii="仿宋_GB2312" w:hAnsi="仿宋_GB2312" w:eastAsia="仿宋_GB2312"/>
          <w:b w:val="0"/>
          <w:sz w:val="32"/>
        </w:rPr>
        <w:t>3.农林水支出(类)199.62万元,占83.26%。</w:t>
      </w:r>
    </w:p>
    <w:p w14:paraId="116B4111">
      <w:pPr>
        <w:spacing w:line="580" w:lineRule="exact"/>
        <w:ind w:firstLine="640"/>
        <w:jc w:val="both"/>
      </w:pPr>
      <w:r>
        <w:rPr>
          <w:rFonts w:ascii="仿宋_GB2312" w:hAnsi="仿宋_GB2312" w:eastAsia="仿宋_GB2312"/>
          <w:b w:val="0"/>
          <w:sz w:val="32"/>
        </w:rPr>
        <w:t>4.住房保障支出(类)13.73万元,占5.73%。</w:t>
      </w:r>
    </w:p>
    <w:p w14:paraId="753960F9">
      <w:pPr>
        <w:spacing w:line="640" w:lineRule="exact"/>
        <w:ind w:firstLine="640"/>
        <w:jc w:val="both"/>
        <w:outlineLvl w:val="3"/>
      </w:pPr>
      <w:r>
        <w:rPr>
          <w:rFonts w:ascii="楷体_GB2312" w:hAnsi="楷体_GB2312" w:eastAsia="楷体_GB2312"/>
          <w:b/>
          <w:sz w:val="32"/>
        </w:rPr>
        <w:t>（三）一般公共预算财政拨款支出决算具体情况</w:t>
      </w:r>
    </w:p>
    <w:p w14:paraId="053AAAE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1.社会保障和就业支出(类)行政事业单位养老支出(款)事业单位离退休(项):支出决算数为2.28万元，比上年决算增加0.96万元，增长72.73%,主要原因是：本年增加退休人员基础绩效奖，退休费支出增加。</w:t>
      </w:r>
      <w:bookmarkStart w:id="0" w:name="_GoBack"/>
      <w:bookmarkEnd w:id="0"/>
    </w:p>
    <w:p w14:paraId="74E58D0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17.71万元，比上年决算增加0.65万元，增长3.81%,主要原因是：本年在职人员工资基数调增，养老缴费基数上涨，相应支出增加。</w:t>
      </w:r>
    </w:p>
    <w:p w14:paraId="3A1FD49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8.47万元，下降100.00%,主要原因是：本年无新增退休人员，职业年金缴费较上年减少。</w:t>
      </w:r>
    </w:p>
    <w:p w14:paraId="2C1841D2">
      <w:pPr>
        <w:spacing w:line="580" w:lineRule="exact"/>
        <w:ind w:firstLine="640"/>
        <w:jc w:val="both"/>
      </w:pPr>
      <w:r>
        <w:rPr>
          <w:rFonts w:ascii="仿宋_GB2312" w:hAnsi="仿宋_GB2312" w:eastAsia="仿宋_GB2312"/>
          <w:b w:val="0"/>
          <w:sz w:val="32"/>
        </w:rPr>
        <w:t>4.卫生健康支出(类)行政事业单位医疗(款)事业单位医疗(项):支出决算数为6.42万元，比上年决算增加0.39万元，增长6.47%,主要原因是：本年在职人员工资基数调增，医疗缴费基数上涨，相应支出增加。</w:t>
      </w:r>
    </w:p>
    <w:p w14:paraId="3C3D4AD0">
      <w:pPr>
        <w:spacing w:line="580" w:lineRule="exact"/>
        <w:ind w:firstLine="640"/>
        <w:jc w:val="both"/>
      </w:pPr>
      <w:r>
        <w:rPr>
          <w:rFonts w:ascii="仿宋_GB2312" w:hAnsi="仿宋_GB2312" w:eastAsia="仿宋_GB2312"/>
          <w:b w:val="0"/>
          <w:sz w:val="32"/>
        </w:rPr>
        <w:t>5.农林水支出(类)林业和草原(款)事业机构(项):支出决算数为129.62万元，比上年决算减少17.43万元，下降11.85%,主要原因是：本年人员调入调出，人员工资基数</w:t>
      </w:r>
      <w:r>
        <w:rPr>
          <w:rFonts w:hint="eastAsia" w:ascii="仿宋_GB2312" w:hAnsi="仿宋_GB2312" w:eastAsia="仿宋_GB2312"/>
          <w:b w:val="0"/>
          <w:sz w:val="32"/>
          <w:lang w:val="en-US" w:eastAsia="zh-CN"/>
        </w:rPr>
        <w:t>不同</w:t>
      </w:r>
      <w:r>
        <w:rPr>
          <w:rFonts w:ascii="仿宋_GB2312" w:hAnsi="仿宋_GB2312" w:eastAsia="仿宋_GB2312"/>
          <w:b w:val="0"/>
          <w:sz w:val="32"/>
        </w:rPr>
        <w:t>，导致工资等相关人员经费减少。</w:t>
      </w:r>
    </w:p>
    <w:p w14:paraId="70A61593">
      <w:pPr>
        <w:spacing w:line="580" w:lineRule="exact"/>
        <w:ind w:firstLine="640"/>
        <w:jc w:val="both"/>
      </w:pPr>
      <w:r>
        <w:rPr>
          <w:rFonts w:ascii="仿宋_GB2312" w:hAnsi="仿宋_GB2312" w:eastAsia="仿宋_GB2312"/>
          <w:b w:val="0"/>
          <w:sz w:val="32"/>
        </w:rPr>
        <w:t>6.农林水支出(类)林业和草原(款)林业草原防灾减灾(项):支出决算数为40.00万元，比上年决算增加28.54万元，增长249.04%,主要原因是：本年功能科目调整，天牛类蛀干害虫防治项目经费上年在其他林业和草原支出科目列支，本年调整至林业草原防灾减灾科目列支，导致经费较上年增加。</w:t>
      </w:r>
    </w:p>
    <w:p w14:paraId="51B06E89">
      <w:pPr>
        <w:spacing w:line="580" w:lineRule="exact"/>
        <w:ind w:firstLine="640"/>
        <w:jc w:val="both"/>
      </w:pPr>
      <w:r>
        <w:rPr>
          <w:rFonts w:ascii="仿宋_GB2312" w:hAnsi="仿宋_GB2312" w:eastAsia="仿宋_GB2312"/>
          <w:b w:val="0"/>
          <w:sz w:val="32"/>
        </w:rPr>
        <w:t>7.农林水支出(类)林业和草原(款)其他林业和草原支出(项):支出决算数为30.00万元，比上年决算减少10.00万元，下降25.00%,主要原因是：本年功能科目调整，天牛类蛀干害虫防治项目经费上年在其他林业和草原支出科目列支，本年调整至林业草原防灾减灾科目列支，导致经费较上年减少。</w:t>
      </w:r>
    </w:p>
    <w:p w14:paraId="4820EBE7">
      <w:pPr>
        <w:spacing w:line="580" w:lineRule="exact"/>
        <w:ind w:firstLine="640"/>
        <w:jc w:val="both"/>
      </w:pPr>
      <w:r>
        <w:rPr>
          <w:rFonts w:ascii="仿宋_GB2312" w:hAnsi="仿宋_GB2312" w:eastAsia="仿宋_GB2312"/>
          <w:b w:val="0"/>
          <w:sz w:val="32"/>
        </w:rPr>
        <w:t>8.住房保障支出(类)住房改革支出(款)住房公积金(项):支出决算数为13.73万元，比上年决算减少0.05万元，下降0.36%,主要原因是：本年人员调入调出，人员工资基数</w:t>
      </w:r>
      <w:r>
        <w:rPr>
          <w:rFonts w:hint="eastAsia" w:ascii="仿宋_GB2312" w:hAnsi="仿宋_GB2312" w:eastAsia="仿宋_GB2312"/>
          <w:b w:val="0"/>
          <w:sz w:val="32"/>
          <w:lang w:val="en-US" w:eastAsia="zh-CN"/>
        </w:rPr>
        <w:t>不同</w:t>
      </w:r>
      <w:r>
        <w:rPr>
          <w:rFonts w:ascii="仿宋_GB2312" w:hAnsi="仿宋_GB2312" w:eastAsia="仿宋_GB2312"/>
          <w:b w:val="0"/>
          <w:sz w:val="32"/>
        </w:rPr>
        <w:t>，住房公积金缴费较上年减少。</w:t>
      </w:r>
    </w:p>
    <w:p w14:paraId="483B5F95">
      <w:pPr>
        <w:spacing w:line="640" w:lineRule="exact"/>
        <w:ind w:firstLine="640"/>
        <w:jc w:val="both"/>
        <w:outlineLvl w:val="2"/>
      </w:pPr>
      <w:r>
        <w:rPr>
          <w:rFonts w:ascii="黑体" w:hAnsi="黑体" w:eastAsia="黑体"/>
          <w:sz w:val="32"/>
        </w:rPr>
        <w:t>六、一般公共预算财政拨款基本支出决算情况说明</w:t>
      </w:r>
    </w:p>
    <w:p w14:paraId="2232C5F7">
      <w:pPr>
        <w:spacing w:line="580" w:lineRule="exact"/>
        <w:ind w:firstLine="640"/>
        <w:jc w:val="both"/>
      </w:pPr>
      <w:r>
        <w:rPr>
          <w:rFonts w:ascii="仿宋_GB2312" w:hAnsi="仿宋_GB2312" w:eastAsia="仿宋_GB2312"/>
          <w:b w:val="0"/>
          <w:sz w:val="32"/>
        </w:rPr>
        <w:t>2024年度一般公共预算财政拨款基本支出169.76万元，其中：</w:t>
      </w:r>
      <w:r>
        <w:rPr>
          <w:rFonts w:ascii="仿宋_GB2312" w:hAnsi="仿宋_GB2312" w:eastAsia="仿宋_GB2312"/>
          <w:b/>
          <w:sz w:val="32"/>
        </w:rPr>
        <w:t>人员经费167.38万元，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0012C3FA">
      <w:pPr>
        <w:spacing w:line="580" w:lineRule="exact"/>
        <w:ind w:firstLine="640"/>
        <w:jc w:val="both"/>
      </w:pPr>
      <w:r>
        <w:rPr>
          <w:rFonts w:ascii="仿宋_GB2312" w:hAnsi="仿宋_GB2312" w:eastAsia="仿宋_GB2312"/>
          <w:b/>
          <w:sz w:val="32"/>
        </w:rPr>
        <w:t>公用经费2.38万元，</w:t>
      </w:r>
      <w:r>
        <w:rPr>
          <w:rFonts w:ascii="仿宋_GB2312" w:hAnsi="仿宋_GB2312" w:eastAsia="仿宋_GB2312"/>
          <w:b w:val="0"/>
          <w:sz w:val="32"/>
        </w:rPr>
        <w:t>包括：办公费、印刷费、水费、委托业务费。</w:t>
      </w:r>
    </w:p>
    <w:p w14:paraId="3DB00997">
      <w:pPr>
        <w:spacing w:line="640" w:lineRule="exact"/>
        <w:ind w:firstLine="640"/>
        <w:jc w:val="both"/>
        <w:outlineLvl w:val="2"/>
      </w:pPr>
      <w:r>
        <w:rPr>
          <w:rFonts w:ascii="黑体" w:hAnsi="黑体" w:eastAsia="黑体"/>
          <w:sz w:val="32"/>
        </w:rPr>
        <w:t>七、政府性基金预算财政拨款收入支出决算情况说明</w:t>
      </w:r>
    </w:p>
    <w:p w14:paraId="47BD801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87E3AE3">
      <w:pPr>
        <w:spacing w:line="640" w:lineRule="exact"/>
        <w:ind w:firstLine="640"/>
        <w:jc w:val="both"/>
        <w:outlineLvl w:val="2"/>
      </w:pPr>
      <w:r>
        <w:rPr>
          <w:rFonts w:ascii="黑体" w:hAnsi="黑体" w:eastAsia="黑体"/>
          <w:sz w:val="32"/>
        </w:rPr>
        <w:t>八、国有资本经营预算财政拨款收入支出决算情况说明</w:t>
      </w:r>
    </w:p>
    <w:p w14:paraId="2A89E3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6D7E96">
      <w:pPr>
        <w:spacing w:line="640" w:lineRule="exact"/>
        <w:ind w:firstLine="640"/>
        <w:jc w:val="both"/>
        <w:outlineLvl w:val="2"/>
      </w:pPr>
      <w:r>
        <w:rPr>
          <w:rFonts w:ascii="黑体" w:hAnsi="黑体" w:eastAsia="黑体"/>
          <w:sz w:val="32"/>
        </w:rPr>
        <w:t>九、财政拨款“三公”经费支出决算情况说明</w:t>
      </w:r>
    </w:p>
    <w:p w14:paraId="27B1ACD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9590482">
      <w:pPr>
        <w:spacing w:line="580" w:lineRule="exact"/>
        <w:ind w:firstLine="640"/>
        <w:jc w:val="both"/>
      </w:pPr>
      <w:r>
        <w:rPr>
          <w:rFonts w:ascii="仿宋_GB2312" w:hAnsi="仿宋_GB2312" w:eastAsia="仿宋_GB2312"/>
          <w:b/>
          <w:sz w:val="32"/>
        </w:rPr>
        <w:t>具体情况如下：</w:t>
      </w:r>
    </w:p>
    <w:p w14:paraId="5081842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344C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719195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BA825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B09D413">
      <w:pPr>
        <w:spacing w:line="640" w:lineRule="exact"/>
        <w:ind w:firstLine="640"/>
        <w:jc w:val="both"/>
        <w:outlineLvl w:val="2"/>
      </w:pPr>
      <w:r>
        <w:rPr>
          <w:rFonts w:ascii="黑体" w:hAnsi="黑体" w:eastAsia="黑体"/>
          <w:sz w:val="32"/>
        </w:rPr>
        <w:t>十、其他重要事项的情况说明</w:t>
      </w:r>
    </w:p>
    <w:p w14:paraId="5A40BAC4">
      <w:pPr>
        <w:spacing w:line="640" w:lineRule="exact"/>
        <w:ind w:firstLine="640"/>
        <w:jc w:val="both"/>
        <w:outlineLvl w:val="3"/>
      </w:pPr>
      <w:r>
        <w:rPr>
          <w:rFonts w:ascii="楷体_GB2312" w:hAnsi="楷体_GB2312" w:eastAsia="楷体_GB2312"/>
          <w:b/>
          <w:sz w:val="32"/>
        </w:rPr>
        <w:t>（一）机关运行经费及公用经费支出情况</w:t>
      </w:r>
    </w:p>
    <w:p w14:paraId="54FE2756">
      <w:pPr>
        <w:spacing w:line="580" w:lineRule="exact"/>
        <w:ind w:firstLine="640"/>
        <w:jc w:val="both"/>
      </w:pPr>
      <w:r>
        <w:rPr>
          <w:rFonts w:ascii="仿宋_GB2312" w:hAnsi="仿宋_GB2312" w:eastAsia="仿宋_GB2312"/>
          <w:b w:val="0"/>
          <w:sz w:val="32"/>
        </w:rPr>
        <w:t>2024年度阿克陶县林业有害生物防治检疫局（事业单位）公用经费支出2.38万元，比上年增加1.38万元，增长138.00%，主要原因是：本年业务量增加，公用经费增加。</w:t>
      </w:r>
    </w:p>
    <w:p w14:paraId="3A9B51DC">
      <w:pPr>
        <w:spacing w:line="640" w:lineRule="exact"/>
        <w:ind w:firstLine="640"/>
        <w:jc w:val="both"/>
        <w:outlineLvl w:val="3"/>
      </w:pPr>
      <w:r>
        <w:rPr>
          <w:rFonts w:ascii="楷体_GB2312" w:hAnsi="楷体_GB2312" w:eastAsia="楷体_GB2312"/>
          <w:b/>
          <w:sz w:val="32"/>
        </w:rPr>
        <w:t>（二）政府采购情况</w:t>
      </w:r>
    </w:p>
    <w:p w14:paraId="5F548C8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D2EF27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D7A3CC9">
      <w:pPr>
        <w:spacing w:line="640" w:lineRule="exact"/>
        <w:ind w:firstLine="640"/>
        <w:jc w:val="both"/>
        <w:outlineLvl w:val="3"/>
      </w:pPr>
      <w:r>
        <w:rPr>
          <w:rFonts w:ascii="楷体_GB2312" w:hAnsi="楷体_GB2312" w:eastAsia="楷体_GB2312"/>
          <w:b/>
          <w:sz w:val="32"/>
        </w:rPr>
        <w:t>（三）国有资产占用情况说明</w:t>
      </w:r>
    </w:p>
    <w:p w14:paraId="161FDAB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6FB9DF9">
      <w:pPr>
        <w:spacing w:line="640" w:lineRule="exact"/>
        <w:ind w:firstLine="640"/>
        <w:jc w:val="both"/>
        <w:outlineLvl w:val="2"/>
      </w:pPr>
      <w:r>
        <w:rPr>
          <w:rFonts w:ascii="黑体" w:hAnsi="黑体" w:eastAsia="黑体"/>
          <w:sz w:val="32"/>
        </w:rPr>
        <w:t>十一、预算绩效的情况说明</w:t>
      </w:r>
    </w:p>
    <w:p w14:paraId="6DC3D82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242.21万元，实际执行总额239.81万元；预算绩效评价项目2个，全年预算数70.00万元，全年执行数70.00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2775D31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9F30BFD">
        <w:tblPrEx>
          <w:tblCellMar>
            <w:top w:w="0" w:type="dxa"/>
            <w:left w:w="108" w:type="dxa"/>
            <w:bottom w:w="0" w:type="dxa"/>
            <w:right w:w="108" w:type="dxa"/>
          </w:tblCellMar>
        </w:tblPrEx>
        <w:tc>
          <w:tcPr>
            <w:tcW w:w="8840" w:type="dxa"/>
            <w:gridSpan w:val="8"/>
            <w:vAlign w:val="center"/>
          </w:tcPr>
          <w:p w14:paraId="0E53AEB2">
            <w:pPr>
              <w:jc w:val="center"/>
            </w:pPr>
            <w:r>
              <w:rPr>
                <w:rFonts w:ascii="宋体" w:hAnsi="宋体" w:eastAsia="宋体"/>
                <w:sz w:val="24"/>
              </w:rPr>
              <w:t>单位整体支出绩效自评表</w:t>
            </w:r>
          </w:p>
        </w:tc>
      </w:tr>
      <w:tr w14:paraId="0A55F217">
        <w:tblPrEx>
          <w:tblCellMar>
            <w:top w:w="0" w:type="dxa"/>
            <w:left w:w="108" w:type="dxa"/>
            <w:bottom w:w="0" w:type="dxa"/>
            <w:right w:w="108" w:type="dxa"/>
          </w:tblCellMar>
        </w:tblPrEx>
        <w:tc>
          <w:tcPr>
            <w:tcW w:w="8840" w:type="dxa"/>
            <w:gridSpan w:val="8"/>
            <w:vAlign w:val="center"/>
          </w:tcPr>
          <w:p w14:paraId="1B005403">
            <w:pPr>
              <w:jc w:val="center"/>
            </w:pPr>
            <w:r>
              <w:rPr>
                <w:rFonts w:ascii="宋体" w:hAnsi="宋体" w:eastAsia="宋体"/>
                <w:sz w:val="24"/>
              </w:rPr>
              <w:t>（2024年度）</w:t>
            </w:r>
          </w:p>
        </w:tc>
      </w:tr>
      <w:tr w14:paraId="641D26B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1800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7C10B">
            <w:pPr>
              <w:jc w:val="center"/>
            </w:pPr>
            <w:r>
              <w:rPr>
                <w:rFonts w:ascii="宋体" w:hAnsi="宋体" w:eastAsia="宋体"/>
                <w:sz w:val="16"/>
              </w:rPr>
              <w:t>阿克陶县林业有害生物防治检疫局</w:t>
            </w:r>
          </w:p>
        </w:tc>
      </w:tr>
      <w:tr w14:paraId="0D6EE4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6B9A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AAC0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D6E5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A4E2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5F99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6576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8B83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6C1FB">
            <w:pPr>
              <w:jc w:val="center"/>
            </w:pPr>
            <w:r>
              <w:rPr>
                <w:rFonts w:ascii="宋体" w:hAnsi="宋体" w:eastAsia="宋体"/>
                <w:sz w:val="16"/>
              </w:rPr>
              <w:t>得分</w:t>
            </w:r>
          </w:p>
        </w:tc>
      </w:tr>
      <w:tr w14:paraId="29397A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341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A66D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178CC">
            <w:pPr>
              <w:jc w:val="center"/>
            </w:pPr>
            <w:r>
              <w:rPr>
                <w:rFonts w:ascii="宋体" w:hAnsi="宋体" w:eastAsia="宋体"/>
                <w:sz w:val="16"/>
              </w:rPr>
              <w:t>264.59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CD865">
            <w:pPr>
              <w:jc w:val="center"/>
            </w:pPr>
            <w:r>
              <w:rPr>
                <w:rFonts w:ascii="宋体" w:hAnsi="宋体" w:eastAsia="宋体"/>
                <w:sz w:val="16"/>
              </w:rPr>
              <w:t>242.21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DD839">
            <w:pPr>
              <w:jc w:val="center"/>
            </w:pPr>
            <w:r>
              <w:rPr>
                <w:rFonts w:ascii="宋体" w:hAnsi="宋体" w:eastAsia="宋体"/>
                <w:sz w:val="16"/>
              </w:rPr>
              <w:t>239.81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7389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32E57">
            <w:pPr>
              <w:jc w:val="center"/>
            </w:pPr>
            <w:r>
              <w:rPr>
                <w:rFonts w:ascii="宋体" w:hAnsi="宋体" w:eastAsia="宋体"/>
                <w:sz w:val="16"/>
              </w:rPr>
              <w:t>99.01%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E14F5">
            <w:pPr>
              <w:jc w:val="center"/>
            </w:pPr>
            <w:r>
              <w:rPr>
                <w:rFonts w:ascii="宋体" w:hAnsi="宋体" w:eastAsia="宋体"/>
                <w:sz w:val="16"/>
              </w:rPr>
              <w:t>9.9</w:t>
            </w:r>
          </w:p>
        </w:tc>
      </w:tr>
      <w:tr w14:paraId="623E2B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BCB1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DADA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EE7A2">
            <w:pPr>
              <w:jc w:val="center"/>
            </w:pPr>
            <w:r>
              <w:rPr>
                <w:rFonts w:ascii="宋体" w:hAnsi="宋体" w:eastAsia="宋体"/>
                <w:sz w:val="16"/>
              </w:rPr>
              <w:t>70.00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A0085">
            <w:pPr>
              <w:jc w:val="center"/>
            </w:pPr>
            <w:r>
              <w:rPr>
                <w:rFonts w:ascii="宋体" w:hAnsi="宋体" w:eastAsia="宋体"/>
                <w:sz w:val="16"/>
              </w:rPr>
              <w:t>70.00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20CB1">
            <w:pPr>
              <w:jc w:val="center"/>
            </w:pPr>
            <w:r>
              <w:rPr>
                <w:rFonts w:ascii="宋体" w:hAnsi="宋体" w:eastAsia="宋体"/>
                <w:sz w:val="16"/>
              </w:rPr>
              <w:t>70.00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5D8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C7BC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721B6">
            <w:pPr>
              <w:jc w:val="center"/>
            </w:pPr>
            <w:r>
              <w:rPr>
                <w:rFonts w:ascii="宋体" w:hAnsi="宋体" w:eastAsia="宋体"/>
                <w:sz w:val="16"/>
              </w:rPr>
              <w:t>—</w:t>
            </w:r>
          </w:p>
        </w:tc>
      </w:tr>
      <w:tr w14:paraId="77C9DF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1A46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8423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8CB5B">
            <w:pPr>
              <w:jc w:val="center"/>
            </w:pPr>
            <w:r>
              <w:rPr>
                <w:rFonts w:ascii="宋体" w:hAnsi="宋体" w:eastAsia="宋体"/>
                <w:sz w:val="16"/>
              </w:rPr>
              <w:t>194.59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6079C">
            <w:pPr>
              <w:jc w:val="center"/>
            </w:pPr>
            <w:r>
              <w:rPr>
                <w:rFonts w:ascii="宋体" w:hAnsi="宋体" w:eastAsia="宋体"/>
                <w:sz w:val="16"/>
              </w:rPr>
              <w:t>172.21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F66BF">
            <w:pPr>
              <w:jc w:val="center"/>
            </w:pPr>
            <w:r>
              <w:rPr>
                <w:rFonts w:ascii="宋体" w:hAnsi="宋体" w:eastAsia="宋体"/>
                <w:sz w:val="16"/>
              </w:rPr>
              <w:t>169.81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C982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54E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EB19E">
            <w:pPr>
              <w:jc w:val="center"/>
            </w:pPr>
            <w:r>
              <w:rPr>
                <w:rFonts w:ascii="宋体" w:hAnsi="宋体" w:eastAsia="宋体"/>
                <w:sz w:val="16"/>
              </w:rPr>
              <w:t>—</w:t>
            </w:r>
          </w:p>
        </w:tc>
      </w:tr>
      <w:tr w14:paraId="21BEEE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23C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2D8A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226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72E3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10D8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639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A85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409E0">
            <w:pPr>
              <w:jc w:val="center"/>
            </w:pPr>
            <w:r>
              <w:rPr>
                <w:rFonts w:ascii="宋体" w:hAnsi="宋体" w:eastAsia="宋体"/>
                <w:sz w:val="16"/>
              </w:rPr>
              <w:t>—</w:t>
            </w:r>
          </w:p>
        </w:tc>
      </w:tr>
      <w:tr w14:paraId="2BE207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DB0F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800BA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84A430">
            <w:pPr>
              <w:jc w:val="center"/>
            </w:pPr>
            <w:r>
              <w:rPr>
                <w:rFonts w:ascii="宋体" w:hAnsi="宋体" w:eastAsia="宋体"/>
                <w:sz w:val="16"/>
              </w:rPr>
              <w:t>实际完成情况</w:t>
            </w:r>
          </w:p>
        </w:tc>
      </w:tr>
      <w:tr w14:paraId="28FABB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7A9EE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804433">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666801">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364DBE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9D07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3E92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CEB7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8B31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4238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A0B4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C2B7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B893E">
            <w:pPr>
              <w:jc w:val="center"/>
            </w:pPr>
            <w:r>
              <w:rPr>
                <w:rFonts w:ascii="宋体" w:hAnsi="宋体" w:eastAsia="宋体"/>
                <w:sz w:val="16"/>
              </w:rPr>
              <w:t>得分</w:t>
            </w:r>
          </w:p>
        </w:tc>
      </w:tr>
      <w:tr w14:paraId="3CED0E3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4629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6E2F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892A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123F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46AA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E0C0B">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3D6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9B91D">
            <w:pPr>
              <w:jc w:val="center"/>
            </w:pPr>
            <w:r>
              <w:rPr>
                <w:rFonts w:ascii="宋体" w:hAnsi="宋体" w:eastAsia="宋体"/>
                <w:sz w:val="16"/>
              </w:rPr>
              <w:t>7</w:t>
            </w:r>
          </w:p>
        </w:tc>
      </w:tr>
      <w:tr w14:paraId="1392FA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893C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BA2B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AD466">
            <w:pPr>
              <w:jc w:val="center"/>
            </w:pPr>
            <w:r>
              <w:rPr>
                <w:rFonts w:ascii="宋体" w:hAnsi="宋体" w:eastAsia="宋体"/>
                <w:sz w:val="16"/>
              </w:rPr>
              <w:t>年度部民警体预算支出控制数（万元）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7E0BC">
            <w:pPr>
              <w:jc w:val="center"/>
            </w:pPr>
            <w:r>
              <w:rPr>
                <w:rFonts w:ascii="宋体" w:hAnsi="宋体" w:eastAsia="宋体"/>
                <w:sz w:val="16"/>
              </w:rPr>
              <w:t>&lt;=189.71万元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5EF5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405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8BC6A">
            <w:pPr>
              <w:jc w:val="center"/>
            </w:pPr>
            <w:r>
              <w:rPr>
                <w:rFonts w:ascii="宋体" w:hAnsi="宋体" w:eastAsia="宋体"/>
                <w:sz w:val="16"/>
              </w:rPr>
              <w:t>239.81万元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AFA42">
            <w:pPr>
              <w:jc w:val="center"/>
            </w:pPr>
            <w:r>
              <w:rPr>
                <w:rFonts w:ascii="宋体" w:hAnsi="宋体" w:eastAsia="宋体"/>
                <w:sz w:val="16"/>
              </w:rPr>
              <w:t>7.91</w:t>
            </w:r>
          </w:p>
        </w:tc>
      </w:tr>
      <w:tr w14:paraId="08FD5F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2AF9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EFB1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8E916">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FCF80">
            <w:pPr>
              <w:jc w:val="center"/>
            </w:pPr>
            <w:r>
              <w:rPr>
                <w:rFonts w:ascii="宋体" w:hAnsi="宋体" w:eastAsia="宋体"/>
                <w:sz w:val="16"/>
              </w:rPr>
              <w:t>&lt;=4.88万元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B1256">
            <w:pPr>
              <w:jc w:val="center"/>
            </w:pPr>
            <w:r>
              <w:rPr>
                <w:rFonts w:ascii="宋体" w:hAnsi="宋体" w:eastAsia="宋体"/>
                <w:sz w:val="16"/>
              </w:rPr>
              <w:t>县人大会议批复文件要求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986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1674E">
            <w:pPr>
              <w:jc w:val="center"/>
            </w:pPr>
            <w:r>
              <w:rPr>
                <w:rFonts w:ascii="宋体" w:hAnsi="宋体" w:eastAsia="宋体"/>
                <w:sz w:val="16"/>
              </w:rPr>
              <w:t>2.43万元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8ADBB">
            <w:pPr>
              <w:jc w:val="center"/>
            </w:pPr>
            <w:r>
              <w:rPr>
                <w:rFonts w:ascii="宋体" w:hAnsi="宋体" w:eastAsia="宋体"/>
                <w:sz w:val="16"/>
              </w:rPr>
              <w:t>4.98</w:t>
            </w:r>
          </w:p>
        </w:tc>
      </w:tr>
      <w:tr w14:paraId="7A0865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51800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953CA">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FA42C">
            <w:pPr>
              <w:jc w:val="center"/>
            </w:pPr>
            <w:r>
              <w:rPr>
                <w:rFonts w:ascii="宋体" w:hAnsi="宋体" w:eastAsia="宋体"/>
                <w:sz w:val="16"/>
              </w:rPr>
              <w:t>人员工资福利支出预算保障在职人数（人）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B6BB1">
            <w:pPr>
              <w:jc w:val="center"/>
            </w:pPr>
            <w:r>
              <w:rPr>
                <w:rFonts w:ascii="宋体" w:hAnsi="宋体" w:eastAsia="宋体"/>
                <w:sz w:val="16"/>
              </w:rPr>
              <w:t>&gt;=8人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D0CE6">
            <w:pPr>
              <w:jc w:val="center"/>
            </w:pPr>
            <w:r>
              <w:rPr>
                <w:rFonts w:ascii="宋体" w:hAnsi="宋体" w:eastAsia="宋体"/>
                <w:sz w:val="16"/>
              </w:rPr>
              <w:t>上年度未工资册汇总表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5C64A">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7F2FC">
            <w:pPr>
              <w:jc w:val="center"/>
            </w:pPr>
            <w:r>
              <w:rPr>
                <w:rFonts w:ascii="宋体" w:hAnsi="宋体" w:eastAsia="宋体"/>
                <w:sz w:val="16"/>
              </w:rPr>
              <w: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CB168">
            <w:pPr>
              <w:jc w:val="center"/>
            </w:pPr>
            <w:r>
              <w:rPr>
                <w:rFonts w:ascii="宋体" w:hAnsi="宋体" w:eastAsia="宋体"/>
                <w:sz w:val="16"/>
              </w:rPr>
              <w:t>7</w:t>
            </w:r>
          </w:p>
        </w:tc>
      </w:tr>
      <w:tr w14:paraId="724D62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77FD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F1E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7B88A">
            <w:pPr>
              <w:jc w:val="center"/>
            </w:pPr>
            <w:r>
              <w:rPr>
                <w:rFonts w:ascii="宋体" w:hAnsi="宋体" w:eastAsia="宋体"/>
                <w:sz w:val="16"/>
              </w:rPr>
              <w:t>人员工资福利支出预算保障退休人员数（人）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3E329">
            <w:pPr>
              <w:jc w:val="center"/>
            </w:pPr>
            <w:r>
              <w:rPr>
                <w:rFonts w:ascii="宋体" w:hAnsi="宋体" w:eastAsia="宋体"/>
                <w:sz w:val="16"/>
              </w:rPr>
              <w:t>&gt;=2人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BFFEA">
            <w:pPr>
              <w:jc w:val="center"/>
            </w:pPr>
            <w:r>
              <w:rPr>
                <w:rFonts w:ascii="宋体" w:hAnsi="宋体" w:eastAsia="宋体"/>
                <w:sz w:val="16"/>
              </w:rPr>
              <w:t>上年度未工资册汇总表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6648A">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C0600">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F77BD">
            <w:pPr>
              <w:jc w:val="center"/>
            </w:pPr>
            <w:r>
              <w:rPr>
                <w:rFonts w:ascii="宋体" w:hAnsi="宋体" w:eastAsia="宋体"/>
                <w:sz w:val="16"/>
              </w:rPr>
              <w:t>7</w:t>
            </w:r>
          </w:p>
        </w:tc>
      </w:tr>
      <w:tr w14:paraId="56E0BAE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8899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F333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ABFEE">
            <w:pPr>
              <w:jc w:val="center"/>
            </w:pPr>
            <w:r>
              <w:rPr>
                <w:rFonts w:ascii="宋体" w:hAnsi="宋体" w:eastAsia="宋体"/>
                <w:sz w:val="16"/>
              </w:rPr>
              <w:t>提高林业有害病虫害防治水平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C18A7">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B580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267F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0F1AD">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B166D">
            <w:pPr>
              <w:jc w:val="center"/>
            </w:pPr>
            <w:r>
              <w:rPr>
                <w:rFonts w:ascii="宋体" w:hAnsi="宋体" w:eastAsia="宋体"/>
                <w:sz w:val="16"/>
              </w:rPr>
              <w:t>8</w:t>
            </w:r>
          </w:p>
        </w:tc>
      </w:tr>
      <w:tr w14:paraId="0899A0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16BF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D534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60933">
            <w:pPr>
              <w:jc w:val="center"/>
            </w:pPr>
            <w:r>
              <w:rPr>
                <w:rFonts w:ascii="宋体" w:hAnsi="宋体" w:eastAsia="宋体"/>
                <w:sz w:val="16"/>
              </w:rPr>
              <w:t>苗木检疫，复检验收合格率（%）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186B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BF09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A46C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BF0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B129E">
            <w:pPr>
              <w:jc w:val="center"/>
            </w:pPr>
            <w:r>
              <w:rPr>
                <w:rFonts w:ascii="宋体" w:hAnsi="宋体" w:eastAsia="宋体"/>
                <w:sz w:val="16"/>
              </w:rPr>
              <w:t>8</w:t>
            </w:r>
          </w:p>
        </w:tc>
      </w:tr>
      <w:tr w14:paraId="64D209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6D93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10D2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4A245">
            <w:pPr>
              <w:jc w:val="center"/>
            </w:pPr>
            <w:r>
              <w:rPr>
                <w:rFonts w:ascii="宋体" w:hAnsi="宋体" w:eastAsia="宋体"/>
                <w:sz w:val="16"/>
              </w:rPr>
              <w:t>完成全年打药面积（万亩）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25B5C">
            <w:pPr>
              <w:jc w:val="center"/>
            </w:pPr>
            <w:r>
              <w:rPr>
                <w:rFonts w:ascii="宋体" w:hAnsi="宋体" w:eastAsia="宋体"/>
                <w:sz w:val="16"/>
              </w:rPr>
              <w:t>&gt;=12.1万亩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1295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FA13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F21D1">
            <w:pPr>
              <w:jc w:val="center"/>
            </w:pPr>
            <w:r>
              <w:rPr>
                <w:rFonts w:ascii="宋体" w:hAnsi="宋体" w:eastAsia="宋体"/>
                <w:sz w:val="16"/>
              </w:rPr>
              <w:t>12.58万亩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5E486">
            <w:pPr>
              <w:jc w:val="center"/>
            </w:pPr>
            <w:r>
              <w:rPr>
                <w:rFonts w:ascii="宋体" w:hAnsi="宋体" w:eastAsia="宋体"/>
                <w:sz w:val="16"/>
              </w:rPr>
              <w:t>8</w:t>
            </w:r>
          </w:p>
        </w:tc>
      </w:tr>
      <w:tr w14:paraId="582DB05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35EE4">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46C2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34089">
            <w:pPr>
              <w:jc w:val="center"/>
            </w:pPr>
            <w:r>
              <w:rPr>
                <w:rFonts w:ascii="宋体" w:hAnsi="宋体" w:eastAsia="宋体"/>
                <w:sz w:val="16"/>
              </w:rPr>
              <w:t>苗木检疫，复检检疫验收合格率（%）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82E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B476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9710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ACF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41B62">
            <w:pPr>
              <w:jc w:val="center"/>
            </w:pPr>
            <w:r>
              <w:rPr>
                <w:rFonts w:ascii="宋体" w:hAnsi="宋体" w:eastAsia="宋体"/>
                <w:sz w:val="16"/>
              </w:rPr>
              <w:t>8</w:t>
            </w:r>
          </w:p>
        </w:tc>
      </w:tr>
      <w:tr w14:paraId="37D430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F189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1E74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67144">
            <w:pPr>
              <w:jc w:val="center"/>
            </w:pPr>
            <w:r>
              <w:rPr>
                <w:rFonts w:ascii="宋体" w:hAnsi="宋体" w:eastAsia="宋体"/>
                <w:sz w:val="16"/>
              </w:rPr>
              <w:t>保障部门单位经常职和各项政策措施保障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46C8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61EF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2D129">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6256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9B62A">
            <w:pPr>
              <w:jc w:val="center"/>
            </w:pPr>
            <w:r>
              <w:rPr>
                <w:rFonts w:ascii="宋体" w:hAnsi="宋体" w:eastAsia="宋体"/>
                <w:sz w:val="16"/>
              </w:rPr>
              <w:t>7</w:t>
            </w:r>
          </w:p>
        </w:tc>
      </w:tr>
      <w:tr w14:paraId="6947CA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F3AD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FEFC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FB123">
            <w:pPr>
              <w:jc w:val="center"/>
            </w:pPr>
            <w:r>
              <w:rPr>
                <w:rFonts w:ascii="宋体" w:hAnsi="宋体" w:eastAsia="宋体"/>
                <w:sz w:val="16"/>
              </w:rPr>
              <w:t>社会公众对部门履职效果的满意度（%）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2A014">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91BD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0183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840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ACECA">
            <w:pPr>
              <w:jc w:val="center"/>
            </w:pPr>
            <w:r>
              <w:rPr>
                <w:rFonts w:ascii="宋体" w:hAnsi="宋体" w:eastAsia="宋体"/>
                <w:sz w:val="16"/>
              </w:rPr>
              <w:t>5</w:t>
            </w:r>
          </w:p>
        </w:tc>
      </w:tr>
      <w:tr w14:paraId="2974E7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1807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AF24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9F233">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0191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5003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86F0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0DC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33A90">
            <w:pPr>
              <w:jc w:val="center"/>
            </w:pPr>
            <w:r>
              <w:rPr>
                <w:rFonts w:ascii="宋体" w:hAnsi="宋体" w:eastAsia="宋体"/>
                <w:sz w:val="16"/>
              </w:rPr>
              <w:t>5</w:t>
            </w:r>
          </w:p>
        </w:tc>
      </w:tr>
    </w:tbl>
    <w:p w14:paraId="345823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A8BB8AA">
        <w:tblPrEx>
          <w:tblCellMar>
            <w:top w:w="0" w:type="dxa"/>
            <w:left w:w="108" w:type="dxa"/>
            <w:bottom w:w="0" w:type="dxa"/>
            <w:right w:w="108" w:type="dxa"/>
          </w:tblCellMar>
        </w:tblPrEx>
        <w:tc>
          <w:tcPr>
            <w:tcW w:w="8848" w:type="dxa"/>
            <w:gridSpan w:val="14"/>
            <w:vAlign w:val="center"/>
          </w:tcPr>
          <w:p w14:paraId="517FC5B3">
            <w:pPr>
              <w:jc w:val="center"/>
            </w:pPr>
            <w:r>
              <w:rPr>
                <w:rFonts w:ascii="宋体" w:hAnsi="宋体" w:eastAsia="宋体"/>
                <w:sz w:val="24"/>
              </w:rPr>
              <w:t>项目支出绩效自评表</w:t>
            </w:r>
          </w:p>
        </w:tc>
      </w:tr>
      <w:tr w14:paraId="2237E540">
        <w:tblPrEx>
          <w:tblCellMar>
            <w:top w:w="0" w:type="dxa"/>
            <w:left w:w="108" w:type="dxa"/>
            <w:bottom w:w="0" w:type="dxa"/>
            <w:right w:w="108" w:type="dxa"/>
          </w:tblCellMar>
        </w:tblPrEx>
        <w:tc>
          <w:tcPr>
            <w:tcW w:w="8848" w:type="dxa"/>
            <w:gridSpan w:val="14"/>
            <w:vAlign w:val="center"/>
          </w:tcPr>
          <w:p w14:paraId="4B39BC4A">
            <w:pPr>
              <w:jc w:val="center"/>
            </w:pPr>
            <w:r>
              <w:rPr>
                <w:rFonts w:ascii="宋体" w:hAnsi="宋体" w:eastAsia="宋体"/>
                <w:sz w:val="24"/>
              </w:rPr>
              <w:t>(2024年度)</w:t>
            </w:r>
          </w:p>
        </w:tc>
      </w:tr>
      <w:tr w14:paraId="4B3D9D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71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98FE26">
            <w:pPr>
              <w:jc w:val="center"/>
            </w:pPr>
            <w:r>
              <w:rPr>
                <w:rFonts w:ascii="宋体" w:hAnsi="宋体" w:eastAsia="宋体"/>
                <w:sz w:val="16"/>
              </w:rPr>
              <w:t>2024年林业草原改革发展阿克陶县2024年天牛类蛀干害虫防治项目</w:t>
            </w:r>
          </w:p>
        </w:tc>
      </w:tr>
      <w:tr w14:paraId="619C6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7E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D0B38">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00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232A7C">
            <w:pPr>
              <w:jc w:val="center"/>
            </w:pPr>
            <w:r>
              <w:rPr>
                <w:rFonts w:ascii="宋体" w:hAnsi="宋体" w:eastAsia="宋体"/>
                <w:sz w:val="16"/>
              </w:rPr>
              <w:t>阿克陶县林业有害生物防治检疫局</w:t>
            </w:r>
          </w:p>
        </w:tc>
      </w:tr>
      <w:tr w14:paraId="2B7F2B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A4E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485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69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F7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C73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EC5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64D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6C0C">
            <w:pPr>
              <w:jc w:val="center"/>
            </w:pPr>
            <w:r>
              <w:rPr>
                <w:rFonts w:ascii="宋体" w:hAnsi="宋体" w:eastAsia="宋体"/>
                <w:sz w:val="16"/>
              </w:rPr>
              <w:t>得分</w:t>
            </w:r>
          </w:p>
        </w:tc>
      </w:tr>
      <w:tr w14:paraId="7D120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A41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5DC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19A5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ABEA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5569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2F1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0B24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B46B">
            <w:pPr>
              <w:jc w:val="center"/>
            </w:pPr>
            <w:r>
              <w:rPr>
                <w:rFonts w:ascii="宋体" w:hAnsi="宋体" w:eastAsia="宋体"/>
                <w:sz w:val="16"/>
              </w:rPr>
              <w:t>10.00分</w:t>
            </w:r>
          </w:p>
        </w:tc>
      </w:tr>
      <w:tr w14:paraId="30588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5A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A4D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85C9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168D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336D">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3D2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9C3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CAAF">
            <w:pPr>
              <w:jc w:val="center"/>
            </w:pPr>
            <w:r>
              <w:rPr>
                <w:rFonts w:ascii="宋体" w:hAnsi="宋体" w:eastAsia="宋体"/>
                <w:sz w:val="16"/>
              </w:rPr>
              <w:t>—</w:t>
            </w:r>
          </w:p>
        </w:tc>
      </w:tr>
      <w:tr w14:paraId="6A8F5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1CF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E15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40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A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B1A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0E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28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11F3">
            <w:pPr>
              <w:jc w:val="center"/>
            </w:pPr>
            <w:r>
              <w:rPr>
                <w:rFonts w:ascii="宋体" w:hAnsi="宋体" w:eastAsia="宋体"/>
                <w:sz w:val="16"/>
              </w:rPr>
              <w:t>—</w:t>
            </w:r>
          </w:p>
        </w:tc>
      </w:tr>
      <w:tr w14:paraId="44C403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0DE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F3C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069D51">
            <w:pPr>
              <w:jc w:val="center"/>
            </w:pPr>
            <w:r>
              <w:rPr>
                <w:rFonts w:ascii="宋体" w:hAnsi="宋体" w:eastAsia="宋体"/>
                <w:sz w:val="16"/>
              </w:rPr>
              <w:t>实际完成情况</w:t>
            </w:r>
          </w:p>
        </w:tc>
      </w:tr>
      <w:tr w14:paraId="0F34C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411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91DC8">
            <w:pPr>
              <w:jc w:val="both"/>
            </w:pPr>
            <w:r>
              <w:rPr>
                <w:rFonts w:ascii="宋体" w:hAnsi="宋体" w:eastAsia="宋体"/>
                <w:sz w:val="16"/>
              </w:rPr>
              <w:t>为发生天牛灾害的4000亩林木进行3次打药、树干注药，枯死的树木进行砍伐和</w:t>
            </w:r>
            <w:r>
              <w:rPr>
                <w:rFonts w:hint="eastAsia" w:ascii="宋体" w:hAnsi="宋体"/>
                <w:sz w:val="16"/>
                <w:lang w:eastAsia="zh-CN"/>
              </w:rPr>
              <w:t>粉碎</w:t>
            </w:r>
            <w:r>
              <w:rPr>
                <w:rFonts w:ascii="宋体" w:hAnsi="宋体" w:eastAsia="宋体"/>
                <w:sz w:val="16"/>
              </w:rPr>
              <w:t>处理。通过项目实施使项目区光肩星天牛等害虫发生程度降低，成灾率控制在1%及</w:t>
            </w:r>
            <w:r>
              <w:rPr>
                <w:rFonts w:hint="eastAsia" w:ascii="宋体" w:hAnsi="宋体"/>
                <w:sz w:val="16"/>
                <w:lang w:eastAsia="zh-CN"/>
              </w:rPr>
              <w:t>以下</w:t>
            </w:r>
            <w:r>
              <w:rPr>
                <w:rFonts w:ascii="宋体" w:hAnsi="宋体" w:eastAsia="宋体"/>
                <w:sz w:val="16"/>
              </w:rPr>
              <w:t>，林业有害生物无公害防治成效显著。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3C0582">
            <w:pPr>
              <w:jc w:val="both"/>
            </w:pPr>
            <w:r>
              <w:rPr>
                <w:rFonts w:ascii="宋体" w:hAnsi="宋体" w:eastAsia="宋体"/>
                <w:sz w:val="16"/>
              </w:rPr>
              <w:t>1.加强天牛疫情监测，保持我县天牛零发生的良好现状； 2.加强天牛的监测观察，覆盖率达 100%，确保第一时间 发现新疫情，及时按报告制度上报疫情。 3.加强苗木调运检疫和复检工作，对调入县区的杨、柳、 榆、槭、胡杨等寄主树种及其产品检疫复检率达到 100%。禁 止疫区内以上寄主树及其制品流入我县</w:t>
            </w:r>
          </w:p>
        </w:tc>
      </w:tr>
      <w:tr w14:paraId="2E3480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2B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F2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3F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0D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28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0B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A8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DE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6D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B0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7B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A5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268B7">
            <w:pPr>
              <w:jc w:val="center"/>
            </w:pPr>
            <w:r>
              <w:rPr>
                <w:rFonts w:ascii="宋体" w:hAnsi="宋体" w:eastAsia="宋体"/>
                <w:sz w:val="16"/>
              </w:rPr>
              <w:t>偏差原因分析及改进措施</w:t>
            </w:r>
          </w:p>
        </w:tc>
      </w:tr>
      <w:tr w14:paraId="24BA1C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9CD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8D9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0B9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AD39">
            <w:pPr>
              <w:jc w:val="center"/>
            </w:pPr>
            <w:r>
              <w:rPr>
                <w:rFonts w:ascii="宋体" w:hAnsi="宋体" w:eastAsia="宋体"/>
                <w:sz w:val="16"/>
              </w:rPr>
              <w:t>天牛病虫害防治面积（亩）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8C4C">
            <w:pPr>
              <w:jc w:val="center"/>
            </w:pPr>
            <w:r>
              <w:rPr>
                <w:rFonts w:ascii="宋体" w:hAnsi="宋体" w:eastAsia="宋体"/>
                <w:sz w:val="16"/>
              </w:rPr>
              <w:t>&gt;=4000亩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A1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87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13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52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98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7ADE">
            <w:pPr>
              <w:jc w:val="center"/>
            </w:pPr>
            <w:r>
              <w:rPr>
                <w:rFonts w:ascii="宋体" w:hAnsi="宋体" w:eastAsia="宋体"/>
                <w:sz w:val="16"/>
              </w:rPr>
              <w:t>=4000亩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95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E137E">
            <w:pPr>
              <w:jc w:val="center"/>
            </w:pPr>
          </w:p>
        </w:tc>
      </w:tr>
      <w:tr w14:paraId="5CAFE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3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50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BA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0930">
            <w:pPr>
              <w:jc w:val="center"/>
            </w:pPr>
            <w:r>
              <w:rPr>
                <w:rFonts w:ascii="宋体" w:hAnsi="宋体" w:eastAsia="宋体"/>
                <w:sz w:val="16"/>
              </w:rPr>
              <w:t>天牛病虫害防治培训次数（次）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E7B1">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9A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05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0A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0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87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073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01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17E0">
            <w:pPr>
              <w:jc w:val="center"/>
            </w:pPr>
          </w:p>
        </w:tc>
      </w:tr>
      <w:tr w14:paraId="5008F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A2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11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ED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C292">
            <w:pPr>
              <w:jc w:val="center"/>
            </w:pPr>
            <w:r>
              <w:rPr>
                <w:rFonts w:ascii="宋体" w:hAnsi="宋体" w:eastAsia="宋体"/>
                <w:sz w:val="16"/>
              </w:rPr>
              <w:t>天牛病虫害防治完成率（%）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56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1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5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AA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E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7E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30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45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8746">
            <w:pPr>
              <w:jc w:val="center"/>
            </w:pPr>
          </w:p>
        </w:tc>
      </w:tr>
      <w:tr w14:paraId="555FC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62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D0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1E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B0C9">
            <w:pPr>
              <w:jc w:val="center"/>
            </w:pPr>
            <w:r>
              <w:rPr>
                <w:rFonts w:ascii="宋体" w:hAnsi="宋体" w:eastAsia="宋体"/>
                <w:sz w:val="16"/>
              </w:rPr>
              <w:t>天牛病虫害防治时间（月）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21E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11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74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0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E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56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1E18">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A0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B74B">
            <w:pPr>
              <w:jc w:val="center"/>
            </w:pPr>
          </w:p>
        </w:tc>
      </w:tr>
      <w:tr w14:paraId="68E67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7A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F9A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30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504B">
            <w:pPr>
              <w:jc w:val="center"/>
            </w:pPr>
            <w:r>
              <w:rPr>
                <w:rFonts w:ascii="宋体" w:hAnsi="宋体" w:eastAsia="宋体"/>
                <w:sz w:val="16"/>
              </w:rPr>
              <w:t>天牛病虫害防治需要资金（万元）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4CF9">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2F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21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97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A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C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ECBE">
            <w:pPr>
              <w:jc w:val="center"/>
            </w:pPr>
            <w:r>
              <w:rPr>
                <w:rFonts w:ascii="宋体" w:hAnsi="宋体" w:eastAsia="宋体"/>
                <w:sz w:val="16"/>
              </w:rPr>
              <w:t>=40万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4D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2DC83">
            <w:pPr>
              <w:jc w:val="center"/>
            </w:pPr>
          </w:p>
        </w:tc>
      </w:tr>
      <w:tr w14:paraId="7F534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908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C6E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BA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D7D2">
            <w:pPr>
              <w:jc w:val="center"/>
            </w:pPr>
            <w:r>
              <w:rPr>
                <w:rFonts w:ascii="宋体" w:hAnsi="宋体" w:eastAsia="宋体"/>
                <w:sz w:val="16"/>
              </w:rPr>
              <w:t>有效防止天牛病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93E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AB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7D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0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1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82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A7C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A5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B3F38">
            <w:pPr>
              <w:jc w:val="center"/>
            </w:pPr>
          </w:p>
        </w:tc>
      </w:tr>
      <w:tr w14:paraId="3119A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E78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4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E12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EC3D">
            <w:pPr>
              <w:jc w:val="center"/>
            </w:pPr>
            <w:r>
              <w:rPr>
                <w:rFonts w:ascii="宋体" w:hAnsi="宋体" w:eastAsia="宋体"/>
                <w:sz w:val="16"/>
              </w:rPr>
              <w:t>有效提高林业有害生病虫害防治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97C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E2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15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8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E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49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958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A6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6F117">
            <w:pPr>
              <w:jc w:val="center"/>
            </w:pPr>
          </w:p>
        </w:tc>
      </w:tr>
      <w:tr w14:paraId="53E48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14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83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AA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F06F">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DE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11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55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92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D3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6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5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3E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431F5">
            <w:pPr>
              <w:jc w:val="center"/>
            </w:pPr>
          </w:p>
        </w:tc>
      </w:tr>
      <w:tr w14:paraId="24A511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8B0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3B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80F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F94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4AC184"/>
        </w:tc>
      </w:tr>
    </w:tbl>
    <w:p w14:paraId="2A7FDFB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61F6E7E7">
        <w:tblPrEx>
          <w:tblCellMar>
            <w:top w:w="0" w:type="dxa"/>
            <w:left w:w="108" w:type="dxa"/>
            <w:bottom w:w="0" w:type="dxa"/>
            <w:right w:w="108" w:type="dxa"/>
          </w:tblCellMar>
        </w:tblPrEx>
        <w:tc>
          <w:tcPr>
            <w:tcW w:w="8848" w:type="dxa"/>
            <w:gridSpan w:val="14"/>
            <w:vAlign w:val="center"/>
          </w:tcPr>
          <w:p w14:paraId="2B122E9E">
            <w:pPr>
              <w:jc w:val="center"/>
            </w:pPr>
            <w:r>
              <w:rPr>
                <w:rFonts w:ascii="宋体" w:hAnsi="宋体" w:eastAsia="宋体"/>
                <w:sz w:val="24"/>
              </w:rPr>
              <w:t>项目支出绩效自评表</w:t>
            </w:r>
          </w:p>
        </w:tc>
      </w:tr>
      <w:tr w14:paraId="2F4D05F4">
        <w:tblPrEx>
          <w:tblCellMar>
            <w:top w:w="0" w:type="dxa"/>
            <w:left w:w="108" w:type="dxa"/>
            <w:bottom w:w="0" w:type="dxa"/>
            <w:right w:w="108" w:type="dxa"/>
          </w:tblCellMar>
        </w:tblPrEx>
        <w:tc>
          <w:tcPr>
            <w:tcW w:w="8848" w:type="dxa"/>
            <w:gridSpan w:val="14"/>
            <w:vAlign w:val="center"/>
          </w:tcPr>
          <w:p w14:paraId="7DB56827">
            <w:pPr>
              <w:jc w:val="center"/>
            </w:pPr>
            <w:r>
              <w:rPr>
                <w:rFonts w:ascii="宋体" w:hAnsi="宋体" w:eastAsia="宋体"/>
                <w:sz w:val="24"/>
              </w:rPr>
              <w:t>(2024年度)</w:t>
            </w:r>
          </w:p>
        </w:tc>
      </w:tr>
      <w:tr w14:paraId="36F220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4A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28B4F0">
            <w:pPr>
              <w:jc w:val="center"/>
            </w:pPr>
            <w:r>
              <w:rPr>
                <w:rFonts w:ascii="宋体" w:hAnsi="宋体" w:eastAsia="宋体"/>
                <w:sz w:val="16"/>
              </w:rPr>
              <w:t>2024年自治区林草专项阿克陶县2024年沙棘绕实蝇综合防治项目</w:t>
            </w:r>
          </w:p>
        </w:tc>
      </w:tr>
      <w:tr w14:paraId="462281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3A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F2964">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46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B8A543">
            <w:pPr>
              <w:jc w:val="center"/>
            </w:pPr>
            <w:r>
              <w:rPr>
                <w:rFonts w:ascii="宋体" w:hAnsi="宋体" w:eastAsia="宋体"/>
                <w:sz w:val="16"/>
              </w:rPr>
              <w:t>阿克陶县林业有害生物防治检疫局</w:t>
            </w:r>
          </w:p>
        </w:tc>
      </w:tr>
      <w:tr w14:paraId="11BA3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EFA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227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432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83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64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982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75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70BC">
            <w:pPr>
              <w:jc w:val="center"/>
            </w:pPr>
            <w:r>
              <w:rPr>
                <w:rFonts w:ascii="宋体" w:hAnsi="宋体" w:eastAsia="宋体"/>
                <w:sz w:val="16"/>
              </w:rPr>
              <w:t>得分</w:t>
            </w:r>
          </w:p>
        </w:tc>
      </w:tr>
      <w:tr w14:paraId="4E9EB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0D2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A9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057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34A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5144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DFB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785B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BC24">
            <w:pPr>
              <w:jc w:val="center"/>
            </w:pPr>
            <w:r>
              <w:rPr>
                <w:rFonts w:ascii="宋体" w:hAnsi="宋体" w:eastAsia="宋体"/>
                <w:sz w:val="16"/>
              </w:rPr>
              <w:t>10.00分</w:t>
            </w:r>
          </w:p>
        </w:tc>
      </w:tr>
      <w:tr w14:paraId="3BDDA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4D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14E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6D83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9BB4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1B0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EF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78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2E1F">
            <w:pPr>
              <w:jc w:val="center"/>
            </w:pPr>
            <w:r>
              <w:rPr>
                <w:rFonts w:ascii="宋体" w:hAnsi="宋体" w:eastAsia="宋体"/>
                <w:sz w:val="16"/>
              </w:rPr>
              <w:t>—</w:t>
            </w:r>
          </w:p>
        </w:tc>
      </w:tr>
      <w:tr w14:paraId="34709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34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7B7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E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B9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CD5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DCA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8F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39AE">
            <w:pPr>
              <w:jc w:val="center"/>
            </w:pPr>
            <w:r>
              <w:rPr>
                <w:rFonts w:ascii="宋体" w:hAnsi="宋体" w:eastAsia="宋体"/>
                <w:sz w:val="16"/>
              </w:rPr>
              <w:t>—</w:t>
            </w:r>
          </w:p>
        </w:tc>
      </w:tr>
      <w:tr w14:paraId="6036A5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9E9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D0D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6B41E5">
            <w:pPr>
              <w:jc w:val="center"/>
            </w:pPr>
            <w:r>
              <w:rPr>
                <w:rFonts w:ascii="宋体" w:hAnsi="宋体" w:eastAsia="宋体"/>
                <w:sz w:val="16"/>
              </w:rPr>
              <w:t>实际完成情况</w:t>
            </w:r>
          </w:p>
        </w:tc>
      </w:tr>
      <w:tr w14:paraId="2F136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175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C02AE3">
            <w:pPr>
              <w:jc w:val="both"/>
            </w:pPr>
            <w:r>
              <w:rPr>
                <w:rFonts w:ascii="宋体" w:hAnsi="宋体" w:eastAsia="宋体"/>
                <w:sz w:val="16"/>
              </w:rPr>
              <w:t>加强监测，挂22.8万张黄板，10000亩沙棘喷洒1-2次农药。2.目标：通过综合防治措施，沙棘绕实蝇的防治效果达到90%以上。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617A68">
            <w:pPr>
              <w:jc w:val="both"/>
            </w:pPr>
            <w:r>
              <w:rPr>
                <w:rFonts w:ascii="宋体" w:hAnsi="宋体" w:eastAsia="宋体"/>
                <w:sz w:val="16"/>
              </w:rPr>
              <w:t>加强监测，项目区内沙棘挂了22.8万张黄板，10000亩沙棘喷洒1-2次农药（其中：喀热开其克乡2次）。通过综合防治措施，沙棘绕实蝇的防治效果达到了91%以上。</w:t>
            </w:r>
          </w:p>
        </w:tc>
      </w:tr>
      <w:tr w14:paraId="2287D1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45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70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D9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28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48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B6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57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1C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7D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A9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81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B7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EBB6C">
            <w:pPr>
              <w:jc w:val="center"/>
            </w:pPr>
            <w:r>
              <w:rPr>
                <w:rFonts w:ascii="宋体" w:hAnsi="宋体" w:eastAsia="宋体"/>
                <w:sz w:val="16"/>
              </w:rPr>
              <w:t>偏差原因分析及改进措施</w:t>
            </w:r>
          </w:p>
        </w:tc>
      </w:tr>
      <w:tr w14:paraId="289640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40A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E60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ED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AB26">
            <w:pPr>
              <w:jc w:val="center"/>
            </w:pPr>
            <w:r>
              <w:rPr>
                <w:rFonts w:ascii="宋体" w:hAnsi="宋体" w:eastAsia="宋体"/>
                <w:sz w:val="16"/>
              </w:rPr>
              <w:t>沙棘防治面积（亩）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DDBD">
            <w:pPr>
              <w:jc w:val="center"/>
            </w:pPr>
            <w:r>
              <w:rPr>
                <w:rFonts w:ascii="宋体" w:hAnsi="宋体" w:eastAsia="宋体"/>
                <w:sz w:val="16"/>
              </w:rPr>
              <w:t>&gt;=10000亩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82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32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79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2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D6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D77B">
            <w:pPr>
              <w:jc w:val="center"/>
            </w:pPr>
            <w:r>
              <w:rPr>
                <w:rFonts w:ascii="宋体" w:hAnsi="宋体" w:eastAsia="宋体"/>
                <w:sz w:val="16"/>
              </w:rPr>
              <w: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FC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661D">
            <w:pPr>
              <w:jc w:val="center"/>
            </w:pPr>
          </w:p>
        </w:tc>
      </w:tr>
      <w:tr w14:paraId="2C98A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94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73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C0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7BCF">
            <w:pPr>
              <w:jc w:val="center"/>
            </w:pPr>
            <w:r>
              <w:rPr>
                <w:rFonts w:ascii="宋体" w:hAnsi="宋体" w:eastAsia="宋体"/>
                <w:sz w:val="16"/>
              </w:rPr>
              <w:t>沙棘绕实蝇综合防治培训次数（次）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A962">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28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05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6E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1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78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48B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08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8809">
            <w:pPr>
              <w:jc w:val="center"/>
            </w:pPr>
          </w:p>
        </w:tc>
      </w:tr>
      <w:tr w14:paraId="13F73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FB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E4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D9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220C">
            <w:pPr>
              <w:jc w:val="center"/>
            </w:pPr>
            <w:r>
              <w:rPr>
                <w:rFonts w:ascii="宋体" w:hAnsi="宋体" w:eastAsia="宋体"/>
                <w:sz w:val="16"/>
              </w:rPr>
              <w:t>沙棘绕实综合防治完成率（%）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18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14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E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CD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5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D3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C5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5B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B18B2">
            <w:pPr>
              <w:jc w:val="center"/>
            </w:pPr>
          </w:p>
        </w:tc>
      </w:tr>
      <w:tr w14:paraId="6AE8F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58B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391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9C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F4B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E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5D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E8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66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4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D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D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0C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E250E">
            <w:pPr>
              <w:jc w:val="center"/>
            </w:pPr>
          </w:p>
        </w:tc>
      </w:tr>
      <w:tr w14:paraId="49ECC3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8F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6B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6307">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FB29">
            <w:pPr>
              <w:jc w:val="center"/>
            </w:pPr>
            <w:r>
              <w:rPr>
                <w:rFonts w:ascii="宋体" w:hAnsi="宋体" w:eastAsia="宋体"/>
                <w:sz w:val="16"/>
              </w:rPr>
              <w:t>沙棘绕实综合防治需要资金（万元）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306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15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C8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43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0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52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63A3">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6A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F30D">
            <w:pPr>
              <w:jc w:val="center"/>
            </w:pPr>
          </w:p>
        </w:tc>
      </w:tr>
      <w:tr w14:paraId="02BDD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0E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02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BB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495B">
            <w:pPr>
              <w:jc w:val="center"/>
            </w:pPr>
            <w:r>
              <w:rPr>
                <w:rFonts w:ascii="宋体" w:hAnsi="宋体" w:eastAsia="宋体"/>
                <w:sz w:val="16"/>
              </w:rPr>
              <w:t>有效提高林业有害病虫害防治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CA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36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A4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D5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A0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99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A8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D5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EBF2">
            <w:pPr>
              <w:jc w:val="center"/>
            </w:pPr>
          </w:p>
        </w:tc>
      </w:tr>
      <w:tr w14:paraId="6D44A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C4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24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EE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3E2A">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FF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B4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9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AB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81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D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F6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32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B18FE">
            <w:pPr>
              <w:jc w:val="center"/>
            </w:pPr>
          </w:p>
        </w:tc>
      </w:tr>
      <w:tr w14:paraId="1610AB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5AD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1A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F7A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2A0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612189"/>
        </w:tc>
      </w:tr>
    </w:tbl>
    <w:p w14:paraId="0A300935">
      <w:r>
        <w:br w:type="page"/>
      </w:r>
    </w:p>
    <w:p w14:paraId="1C47E899">
      <w:pPr>
        <w:spacing w:line="640" w:lineRule="exact"/>
        <w:ind w:firstLine="640"/>
        <w:jc w:val="both"/>
        <w:outlineLvl w:val="2"/>
      </w:pPr>
      <w:r>
        <w:rPr>
          <w:rFonts w:ascii="黑体" w:hAnsi="黑体" w:eastAsia="黑体"/>
          <w:sz w:val="32"/>
        </w:rPr>
        <w:t>十二、其他需说明的事项</w:t>
      </w:r>
    </w:p>
    <w:p w14:paraId="7F62D61A">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9D6C872">
      <w:r>
        <w:br w:type="page"/>
      </w:r>
    </w:p>
    <w:p w14:paraId="06F9100D">
      <w:pPr>
        <w:spacing w:line="240" w:lineRule="auto"/>
        <w:jc w:val="center"/>
        <w:outlineLvl w:val="1"/>
      </w:pPr>
      <w:r>
        <w:rPr>
          <w:rFonts w:ascii="黑体" w:hAnsi="黑体" w:eastAsia="黑体"/>
          <w:sz w:val="32"/>
        </w:rPr>
        <w:t>第三部分 专业名词解释</w:t>
      </w:r>
    </w:p>
    <w:p w14:paraId="533A308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97903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DD6C9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C7D54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97B76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D87FC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51786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C7FD0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6F960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D6865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95E2A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5BB4A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AF9F1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30E6C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5FEAEA">
      <w:r>
        <w:br w:type="page"/>
      </w:r>
    </w:p>
    <w:p w14:paraId="683A4AC5">
      <w:pPr>
        <w:spacing w:line="240" w:lineRule="auto"/>
        <w:jc w:val="center"/>
        <w:outlineLvl w:val="1"/>
      </w:pPr>
      <w:r>
        <w:rPr>
          <w:rFonts w:ascii="黑体" w:hAnsi="黑体" w:eastAsia="黑体"/>
          <w:sz w:val="32"/>
        </w:rPr>
        <w:t>第四部分 部门决算报表（见附表）</w:t>
      </w:r>
    </w:p>
    <w:p w14:paraId="00B527C7">
      <w:pPr>
        <w:spacing w:line="240" w:lineRule="auto"/>
        <w:ind w:firstLine="640"/>
        <w:jc w:val="both"/>
      </w:pPr>
      <w:r>
        <w:rPr>
          <w:rFonts w:ascii="仿宋_GB2312" w:hAnsi="仿宋_GB2312" w:eastAsia="仿宋_GB2312"/>
          <w:b w:val="0"/>
          <w:sz w:val="32"/>
        </w:rPr>
        <w:t>一、《收入支出决算总表》</w:t>
      </w:r>
    </w:p>
    <w:p w14:paraId="349E8624">
      <w:pPr>
        <w:spacing w:line="240" w:lineRule="auto"/>
        <w:ind w:firstLine="640"/>
        <w:jc w:val="both"/>
      </w:pPr>
      <w:r>
        <w:rPr>
          <w:rFonts w:ascii="仿宋_GB2312" w:hAnsi="仿宋_GB2312" w:eastAsia="仿宋_GB2312"/>
          <w:b w:val="0"/>
          <w:sz w:val="32"/>
        </w:rPr>
        <w:t>二、《收入决算表》</w:t>
      </w:r>
    </w:p>
    <w:p w14:paraId="3A7CF244">
      <w:pPr>
        <w:spacing w:line="240" w:lineRule="auto"/>
        <w:ind w:firstLine="640"/>
        <w:jc w:val="both"/>
      </w:pPr>
      <w:r>
        <w:rPr>
          <w:rFonts w:ascii="仿宋_GB2312" w:hAnsi="仿宋_GB2312" w:eastAsia="仿宋_GB2312"/>
          <w:b w:val="0"/>
          <w:sz w:val="32"/>
        </w:rPr>
        <w:t>三、《支出决算表》</w:t>
      </w:r>
    </w:p>
    <w:p w14:paraId="76E96501">
      <w:pPr>
        <w:spacing w:line="240" w:lineRule="auto"/>
        <w:ind w:firstLine="640"/>
        <w:jc w:val="both"/>
      </w:pPr>
      <w:r>
        <w:rPr>
          <w:rFonts w:ascii="仿宋_GB2312" w:hAnsi="仿宋_GB2312" w:eastAsia="仿宋_GB2312"/>
          <w:b w:val="0"/>
          <w:sz w:val="32"/>
        </w:rPr>
        <w:t>四、《财政拨款收入支出决算总表》</w:t>
      </w:r>
    </w:p>
    <w:p w14:paraId="10AF1300">
      <w:pPr>
        <w:spacing w:line="240" w:lineRule="auto"/>
        <w:ind w:firstLine="640"/>
        <w:jc w:val="both"/>
      </w:pPr>
      <w:r>
        <w:rPr>
          <w:rFonts w:ascii="仿宋_GB2312" w:hAnsi="仿宋_GB2312" w:eastAsia="仿宋_GB2312"/>
          <w:b w:val="0"/>
          <w:sz w:val="32"/>
        </w:rPr>
        <w:t>五、《一般公共预算财政拨款支出决算表》</w:t>
      </w:r>
    </w:p>
    <w:p w14:paraId="022005CC">
      <w:pPr>
        <w:spacing w:line="240" w:lineRule="auto"/>
        <w:ind w:firstLine="640"/>
        <w:jc w:val="both"/>
      </w:pPr>
      <w:r>
        <w:rPr>
          <w:rFonts w:ascii="仿宋_GB2312" w:hAnsi="仿宋_GB2312" w:eastAsia="仿宋_GB2312"/>
          <w:b w:val="0"/>
          <w:sz w:val="32"/>
        </w:rPr>
        <w:t>六、《一般公共预算财政拨款基本支出决算表》</w:t>
      </w:r>
    </w:p>
    <w:p w14:paraId="3B4DAC0A">
      <w:pPr>
        <w:spacing w:line="240" w:lineRule="auto"/>
        <w:ind w:firstLine="640"/>
        <w:jc w:val="both"/>
      </w:pPr>
      <w:r>
        <w:rPr>
          <w:rFonts w:ascii="仿宋_GB2312" w:hAnsi="仿宋_GB2312" w:eastAsia="仿宋_GB2312"/>
          <w:b w:val="0"/>
          <w:sz w:val="32"/>
        </w:rPr>
        <w:t>七、《政府性基金预算财政拨款收入支出决算表》</w:t>
      </w:r>
    </w:p>
    <w:p w14:paraId="727C5148">
      <w:pPr>
        <w:spacing w:line="240" w:lineRule="auto"/>
        <w:ind w:firstLine="640"/>
        <w:jc w:val="both"/>
      </w:pPr>
      <w:r>
        <w:rPr>
          <w:rFonts w:ascii="仿宋_GB2312" w:hAnsi="仿宋_GB2312" w:eastAsia="仿宋_GB2312"/>
          <w:b w:val="0"/>
          <w:sz w:val="32"/>
        </w:rPr>
        <w:t>八、《国有资本经营预算财政拨款收入支出决算表》</w:t>
      </w:r>
    </w:p>
    <w:p w14:paraId="46AA2312">
      <w:pPr>
        <w:spacing w:line="240" w:lineRule="auto"/>
        <w:ind w:firstLine="640"/>
        <w:jc w:val="both"/>
      </w:pPr>
      <w:r>
        <w:rPr>
          <w:rFonts w:ascii="仿宋_GB2312" w:hAnsi="仿宋_GB2312" w:eastAsia="仿宋_GB2312"/>
          <w:b w:val="0"/>
          <w:sz w:val="32"/>
        </w:rPr>
        <w:t>九、《财政拨款“三公”经费支出决算表》</w:t>
      </w:r>
    </w:p>
    <w:p w14:paraId="27CBF20D">
      <w:pPr>
        <w:spacing w:line="240" w:lineRule="auto"/>
        <w:ind w:firstLine="640"/>
        <w:jc w:val="both"/>
      </w:pPr>
    </w:p>
    <w:p w14:paraId="3326ABC1">
      <w:pPr>
        <w:spacing w:line="240" w:lineRule="auto"/>
        <w:ind w:firstLine="640"/>
        <w:jc w:val="both"/>
      </w:pPr>
    </w:p>
    <w:p w14:paraId="41C02BC6">
      <w:pPr>
        <w:spacing w:line="240" w:lineRule="auto"/>
        <w:ind w:firstLine="640"/>
        <w:jc w:val="both"/>
      </w:pPr>
    </w:p>
    <w:p w14:paraId="7A3D8460">
      <w:pPr>
        <w:spacing w:line="240" w:lineRule="auto"/>
        <w:ind w:firstLine="640"/>
        <w:jc w:val="both"/>
      </w:pPr>
    </w:p>
    <w:p w14:paraId="5D62ACD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1962B1"/>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921F2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9578F8"/>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61E92"/>
    <w:rsid w:val="71473612"/>
    <w:rsid w:val="718F7F65"/>
    <w:rsid w:val="73423603"/>
    <w:rsid w:val="737A5923"/>
    <w:rsid w:val="73DE4104"/>
    <w:rsid w:val="73FB6630"/>
    <w:rsid w:val="74CE04EC"/>
    <w:rsid w:val="74E76DCD"/>
    <w:rsid w:val="76660D7C"/>
    <w:rsid w:val="77ED6F44"/>
    <w:rsid w:val="795A0A34"/>
    <w:rsid w:val="7A0D3BC7"/>
    <w:rsid w:val="7A3A3CDB"/>
    <w:rsid w:val="7E1D35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4775</Words>
  <Characters>5473</Characters>
  <Lines>0</Lines>
  <Paragraphs>0</Paragraphs>
  <TotalTime>1</TotalTime>
  <ScaleCrop>false</ScaleCrop>
  <LinksUpToDate>false</LinksUpToDate>
  <CharactersWithSpaces>5481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