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阿克陶县地震服务中心2024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2F722E2">
      <w:r>
        <w:br w:type="page"/>
      </w:r>
    </w:p>
    <w:p w14:paraId="71155E01">
      <w:pPr>
        <w:spacing w:line="640" w:lineRule="exact"/>
        <w:jc w:val="center"/>
        <w:outlineLvl w:val="1"/>
      </w:pPr>
      <w:r>
        <w:rPr>
          <w:rFonts w:ascii="黑体" w:hAnsi="黑体" w:eastAsia="黑体"/>
          <w:sz w:val="32"/>
        </w:rPr>
        <w:t>第一部分 单位概况</w:t>
      </w:r>
    </w:p>
    <w:p w14:paraId="25F05250">
      <w:pPr>
        <w:spacing w:line="640" w:lineRule="exact"/>
        <w:ind w:firstLine="640"/>
        <w:jc w:val="both"/>
        <w:outlineLvl w:val="2"/>
      </w:pPr>
      <w:r>
        <w:rPr>
          <w:rFonts w:ascii="黑体" w:hAnsi="黑体" w:eastAsia="黑体"/>
          <w:sz w:val="32"/>
        </w:rPr>
        <w:t>一、主要职能</w:t>
      </w:r>
    </w:p>
    <w:p w14:paraId="210423C8">
      <w:pPr>
        <w:spacing w:line="580" w:lineRule="exact"/>
        <w:ind w:firstLine="640"/>
        <w:jc w:val="both"/>
      </w:pPr>
      <w:r>
        <w:rPr>
          <w:rFonts w:ascii="仿宋_GB2312" w:hAnsi="仿宋_GB2312" w:eastAsia="仿宋_GB2312"/>
          <w:sz w:val="32"/>
        </w:rPr>
        <w:t>(1)贯彻落实党和国家、自治区、自治州的各项方针政策，严格执行防震减灾。</w:t>
      </w:r>
    </w:p>
    <w:p w14:paraId="7D90FCCE">
      <w:pPr>
        <w:spacing w:line="580" w:lineRule="exact"/>
        <w:ind w:firstLine="640"/>
        <w:jc w:val="both"/>
      </w:pPr>
      <w:r>
        <w:rPr>
          <w:rFonts w:ascii="仿宋_GB2312" w:hAnsi="仿宋_GB2312" w:eastAsia="仿宋_GB2312"/>
          <w:sz w:val="32"/>
        </w:rPr>
        <w:t>(2)制定本行政区域破坏性地震应急预案、要求各单位出台自己单位的应急预案并通过调研督促各乡镇和有关部门的应急预案不断完善；组织编制本行政区域的防震减灾规划和计划，推进防震减灾计划体制的建立和完善。</w:t>
      </w:r>
    </w:p>
    <w:p w14:paraId="34A80150">
      <w:pPr>
        <w:spacing w:line="580" w:lineRule="exact"/>
        <w:ind w:firstLine="640"/>
        <w:jc w:val="both"/>
      </w:pPr>
      <w:r>
        <w:rPr>
          <w:rFonts w:ascii="仿宋_GB2312" w:hAnsi="仿宋_GB2312" w:eastAsia="仿宋_GB2312"/>
          <w:sz w:val="32"/>
        </w:rPr>
        <w:t>(3)会同有关部门拟定破坏性地震应急预案和防御措施，负责震情通报，参与地震灾害损失评估工作。</w:t>
      </w:r>
    </w:p>
    <w:p w14:paraId="1B695602">
      <w:pPr>
        <w:spacing w:line="580" w:lineRule="exact"/>
        <w:ind w:firstLine="640"/>
        <w:jc w:val="both"/>
      </w:pPr>
      <w:r>
        <w:rPr>
          <w:rFonts w:ascii="仿宋_GB2312" w:hAnsi="仿宋_GB2312" w:eastAsia="仿宋_GB2312"/>
          <w:sz w:val="32"/>
        </w:rPr>
        <w:t>(4)协同住建局、安居富民办等成员单位，加强对施工单位抗震设防相关法律法规的培训并开展定期检查，逐步建立完善建设工程抗震设防要求管理体系，推进城市防震减灾工作法制化管理。加强应急装备的准备工作，应急车辆物资及其他应急装备做好相应的应急登记，能够确保随时使用。</w:t>
      </w:r>
    </w:p>
    <w:p w14:paraId="38FF6230">
      <w:pPr>
        <w:spacing w:line="580" w:lineRule="exact"/>
        <w:ind w:firstLine="640"/>
        <w:jc w:val="both"/>
      </w:pPr>
      <w:r>
        <w:rPr>
          <w:rFonts w:ascii="仿宋_GB2312" w:hAnsi="仿宋_GB2312" w:eastAsia="仿宋_GB2312"/>
          <w:sz w:val="32"/>
        </w:rPr>
        <w:t>(5)对全县的基础地震应急救援能力、各种安居房的户型及完成的安居农居户数、地震系统地震应急联络数据、物资储备、应急避难场所、应急行业救援队伍、重大火灾放射危险源、重大建设等数据进行收集整理。</w:t>
      </w:r>
    </w:p>
    <w:p w14:paraId="635F26E3">
      <w:pPr>
        <w:spacing w:line="580" w:lineRule="exact"/>
        <w:ind w:firstLine="640"/>
        <w:jc w:val="both"/>
      </w:pPr>
      <w:r>
        <w:rPr>
          <w:rFonts w:ascii="仿宋_GB2312" w:hAnsi="仿宋_GB2312" w:eastAsia="仿宋_GB2312"/>
          <w:sz w:val="32"/>
        </w:rPr>
        <w:t>(6)组织开展防震减灾科普知识宣传教育，普及和宣传防震减灾知识，</w:t>
      </w:r>
      <w:r>
        <w:rPr>
          <w:rFonts w:hint="eastAsia" w:ascii="仿宋_GB2312" w:hAnsi="仿宋_GB2312" w:eastAsia="仿宋_GB2312"/>
          <w:sz w:val="32"/>
          <w:lang w:eastAsia="zh-CN"/>
        </w:rPr>
        <w:t>增强</w:t>
      </w:r>
      <w:r>
        <w:rPr>
          <w:rFonts w:ascii="仿宋_GB2312" w:hAnsi="仿宋_GB2312" w:eastAsia="仿宋_GB2312"/>
          <w:sz w:val="32"/>
        </w:rPr>
        <w:t>全民的防震减灾意识，加强引导各个中小学、医院及人员密集场所</w:t>
      </w:r>
      <w:r>
        <w:rPr>
          <w:rFonts w:hint="eastAsia" w:ascii="仿宋_GB2312" w:hAnsi="仿宋_GB2312" w:eastAsia="仿宋_GB2312"/>
          <w:sz w:val="32"/>
          <w:lang w:eastAsia="zh-CN"/>
        </w:rPr>
        <w:t>做好</w:t>
      </w:r>
      <w:r>
        <w:rPr>
          <w:rFonts w:ascii="仿宋_GB2312" w:hAnsi="仿宋_GB2312" w:eastAsia="仿宋_GB2312"/>
          <w:sz w:val="32"/>
        </w:rPr>
        <w:t>突发地震应急演练。</w:t>
      </w:r>
    </w:p>
    <w:p w14:paraId="40505BAE">
      <w:pPr>
        <w:spacing w:line="580" w:lineRule="exact"/>
        <w:ind w:firstLine="640"/>
        <w:jc w:val="both"/>
      </w:pPr>
      <w:r>
        <w:rPr>
          <w:rFonts w:ascii="仿宋_GB2312" w:hAnsi="仿宋_GB2312" w:eastAsia="仿宋_GB2312"/>
          <w:sz w:val="32"/>
        </w:rPr>
        <w:t>(7)负责震情和灾情速报，地震发生后，对于达到以下级别的地震，县地震局配合克州地震局快速完成地震发生时间、地点、震级、震源深度等速报参数的测定，30分钟内报州、县人民政府，同时通报有关部门，并及时续报有关情况。</w:t>
      </w:r>
    </w:p>
    <w:p w14:paraId="3CD0FB32">
      <w:pPr>
        <w:spacing w:line="640" w:lineRule="exact"/>
        <w:ind w:firstLine="640"/>
        <w:jc w:val="both"/>
        <w:outlineLvl w:val="2"/>
      </w:pPr>
      <w:r>
        <w:rPr>
          <w:rFonts w:ascii="黑体" w:hAnsi="黑体" w:eastAsia="黑体"/>
          <w:sz w:val="32"/>
        </w:rPr>
        <w:t>二、机构设置及人员情况</w:t>
      </w:r>
    </w:p>
    <w:p w14:paraId="3FBCBAA2">
      <w:pPr>
        <w:spacing w:line="580" w:lineRule="exact"/>
        <w:ind w:firstLine="640"/>
        <w:jc w:val="both"/>
      </w:pPr>
      <w:r>
        <w:rPr>
          <w:rFonts w:ascii="仿宋_GB2312" w:hAnsi="仿宋_GB2312" w:eastAsia="仿宋_GB2312"/>
          <w:sz w:val="32"/>
        </w:rPr>
        <w:t>阿克陶县地震服务中心2024年度，实有人数6人，其中：在职人员4人，增加0人；离休人员0人，增加0人；退休人员2人,增加0人。</w:t>
      </w:r>
    </w:p>
    <w:p w14:paraId="3B6AF580">
      <w:pPr>
        <w:spacing w:line="580" w:lineRule="exact"/>
        <w:ind w:firstLine="640"/>
        <w:jc w:val="both"/>
      </w:pPr>
      <w:r>
        <w:rPr>
          <w:rFonts w:ascii="仿宋_GB2312" w:hAnsi="仿宋_GB2312" w:eastAsia="仿宋_GB2312"/>
          <w:sz w:val="32"/>
        </w:rPr>
        <w:t>阿克陶县地震服务中心无下属预算单位，下设1个科室，分别是：防震减灾指挥中心。</w:t>
      </w:r>
    </w:p>
    <w:p w14:paraId="7FE1A2B7">
      <w:r>
        <w:br w:type="page"/>
      </w:r>
    </w:p>
    <w:p w14:paraId="0B8BA081">
      <w:pPr>
        <w:spacing w:line="240" w:lineRule="auto"/>
        <w:jc w:val="center"/>
        <w:outlineLvl w:val="1"/>
      </w:pPr>
      <w:r>
        <w:rPr>
          <w:rFonts w:ascii="黑体" w:hAnsi="黑体" w:eastAsia="黑体"/>
          <w:sz w:val="32"/>
        </w:rPr>
        <w:t>第二部分 部门决算情况说明</w:t>
      </w:r>
    </w:p>
    <w:p w14:paraId="48CF2B23">
      <w:pPr>
        <w:spacing w:line="640" w:lineRule="exact"/>
        <w:ind w:firstLine="640"/>
        <w:jc w:val="both"/>
        <w:outlineLvl w:val="2"/>
      </w:pPr>
      <w:r>
        <w:rPr>
          <w:rFonts w:ascii="黑体" w:hAnsi="黑体" w:eastAsia="黑体"/>
          <w:sz w:val="32"/>
        </w:rPr>
        <w:t>一、收入支出决算总体情况说明</w:t>
      </w:r>
    </w:p>
    <w:p w14:paraId="0BF14FF1">
      <w:pPr>
        <w:spacing w:line="580" w:lineRule="exact"/>
        <w:ind w:firstLine="640"/>
        <w:jc w:val="both"/>
      </w:pPr>
      <w:r>
        <w:rPr>
          <w:rFonts w:ascii="仿宋_GB2312" w:hAnsi="仿宋_GB2312" w:eastAsia="仿宋_GB2312"/>
          <w:b/>
          <w:sz w:val="32"/>
        </w:rPr>
        <w:t>2024年度收入总计98.13万元，</w:t>
      </w:r>
      <w:r>
        <w:rPr>
          <w:rFonts w:ascii="仿宋_GB2312" w:hAnsi="仿宋_GB2312" w:eastAsia="仿宋_GB2312"/>
          <w:b w:val="0"/>
          <w:sz w:val="32"/>
        </w:rPr>
        <w:t>其中：本年收入合计94.73万元，使用非财政拨款结余（含专用结余）0.00万元，年初结转和结余3.40万元。</w:t>
      </w:r>
    </w:p>
    <w:p w14:paraId="73AC15DB">
      <w:pPr>
        <w:spacing w:line="580" w:lineRule="exact"/>
        <w:ind w:firstLine="640"/>
        <w:jc w:val="both"/>
      </w:pPr>
      <w:r>
        <w:rPr>
          <w:rFonts w:ascii="仿宋_GB2312" w:hAnsi="仿宋_GB2312" w:eastAsia="仿宋_GB2312"/>
          <w:b/>
          <w:sz w:val="32"/>
        </w:rPr>
        <w:t>2024年度支出总计98.13万元，</w:t>
      </w:r>
      <w:r>
        <w:rPr>
          <w:rFonts w:ascii="仿宋_GB2312" w:hAnsi="仿宋_GB2312" w:eastAsia="仿宋_GB2312"/>
          <w:b w:val="0"/>
          <w:sz w:val="32"/>
        </w:rPr>
        <w:t>其中：本年支出合计97.85万元，结余分配0.00万元，年末结转和结余0.28万元。</w:t>
      </w:r>
    </w:p>
    <w:p w14:paraId="061ADC5C">
      <w:pPr>
        <w:spacing w:line="580" w:lineRule="exact"/>
        <w:ind w:firstLine="640"/>
        <w:jc w:val="both"/>
      </w:pPr>
      <w:r>
        <w:rPr>
          <w:rFonts w:ascii="仿宋_GB2312" w:hAnsi="仿宋_GB2312" w:eastAsia="仿宋_GB2312"/>
          <w:b w:val="0"/>
          <w:sz w:val="32"/>
        </w:rPr>
        <w:t>收入支出总体与上年相比，减少1.19万元，下降1.20%，主要原因是：今年减少州地震监测中心拨入防震减灾宣传工作经费，导致收入支出总额随之减少。</w:t>
      </w:r>
    </w:p>
    <w:p w14:paraId="61116158">
      <w:pPr>
        <w:spacing w:line="640" w:lineRule="exact"/>
        <w:ind w:firstLine="640"/>
        <w:jc w:val="both"/>
        <w:outlineLvl w:val="2"/>
      </w:pPr>
      <w:r>
        <w:rPr>
          <w:rFonts w:ascii="黑体" w:hAnsi="黑体" w:eastAsia="黑体"/>
          <w:sz w:val="32"/>
        </w:rPr>
        <w:t>二、收入决算情况说明</w:t>
      </w:r>
    </w:p>
    <w:p w14:paraId="6B4EA270">
      <w:pPr>
        <w:spacing w:line="580" w:lineRule="exact"/>
        <w:ind w:firstLine="640"/>
        <w:jc w:val="both"/>
      </w:pPr>
      <w:r>
        <w:rPr>
          <w:rFonts w:ascii="仿宋_GB2312" w:hAnsi="仿宋_GB2312" w:eastAsia="仿宋_GB2312"/>
          <w:b/>
          <w:sz w:val="32"/>
        </w:rPr>
        <w:t>本年收入94.73万元，</w:t>
      </w:r>
      <w:r>
        <w:rPr>
          <w:rFonts w:ascii="仿宋_GB2312" w:hAnsi="仿宋_GB2312" w:eastAsia="仿宋_GB2312"/>
          <w:b w:val="0"/>
          <w:sz w:val="32"/>
        </w:rPr>
        <w:t>其中：财政拨款收入94.73万元，占100.00%；上级补助收入0.00万元，占0.00%；事业收入0.00万元，占0.00%；经营收入0.00万元，占0.00%；附属单位上缴收入0.00万元，占0.00%；其他收入0.00万元，占0.00%。</w:t>
      </w:r>
    </w:p>
    <w:p w14:paraId="54A96467">
      <w:pPr>
        <w:spacing w:line="640" w:lineRule="exact"/>
        <w:ind w:firstLine="640"/>
        <w:jc w:val="both"/>
        <w:outlineLvl w:val="2"/>
      </w:pPr>
      <w:r>
        <w:rPr>
          <w:rFonts w:ascii="黑体" w:hAnsi="黑体" w:eastAsia="黑体"/>
          <w:sz w:val="32"/>
        </w:rPr>
        <w:t>三、支出决算情况说明</w:t>
      </w:r>
    </w:p>
    <w:p w14:paraId="2A19C536">
      <w:pPr>
        <w:spacing w:line="580" w:lineRule="exact"/>
        <w:ind w:firstLine="640"/>
        <w:jc w:val="both"/>
      </w:pPr>
      <w:r>
        <w:rPr>
          <w:rFonts w:ascii="仿宋_GB2312" w:hAnsi="仿宋_GB2312" w:eastAsia="仿宋_GB2312"/>
          <w:b/>
          <w:sz w:val="32"/>
        </w:rPr>
        <w:t>本年支出97.85万元，</w:t>
      </w:r>
      <w:r>
        <w:rPr>
          <w:rFonts w:ascii="仿宋_GB2312" w:hAnsi="仿宋_GB2312" w:eastAsia="仿宋_GB2312"/>
          <w:b w:val="0"/>
          <w:sz w:val="32"/>
        </w:rPr>
        <w:t>其中：基本支出91.61万元，占93.62%；项目支出6.24万元，占6.38%；上缴上级支出0.00万元，占0.00%；经营支出0.00万元，占0.00%；对附属单位补助支出0.00万元，占0.00%。</w:t>
      </w:r>
    </w:p>
    <w:p w14:paraId="1D5D5F54">
      <w:pPr>
        <w:spacing w:line="640" w:lineRule="exact"/>
        <w:ind w:firstLine="640"/>
        <w:jc w:val="both"/>
        <w:outlineLvl w:val="2"/>
      </w:pPr>
      <w:r>
        <w:rPr>
          <w:rFonts w:ascii="黑体" w:hAnsi="黑体" w:eastAsia="黑体"/>
          <w:sz w:val="32"/>
        </w:rPr>
        <w:t>四、财政拨款收入支出决算总体情况说明</w:t>
      </w:r>
    </w:p>
    <w:p w14:paraId="27B5756D">
      <w:pPr>
        <w:spacing w:line="580" w:lineRule="exact"/>
        <w:ind w:firstLine="640"/>
        <w:jc w:val="both"/>
      </w:pPr>
      <w:r>
        <w:rPr>
          <w:rFonts w:ascii="仿宋_GB2312" w:hAnsi="仿宋_GB2312" w:eastAsia="仿宋_GB2312"/>
          <w:b/>
          <w:sz w:val="32"/>
        </w:rPr>
        <w:t>2024年度财政拨款收入总计94.73万元，</w:t>
      </w:r>
      <w:r>
        <w:rPr>
          <w:rFonts w:ascii="仿宋_GB2312" w:hAnsi="仿宋_GB2312" w:eastAsia="仿宋_GB2312"/>
          <w:b w:val="0"/>
          <w:sz w:val="32"/>
        </w:rPr>
        <w:t>其中：年初财政拨款结转和结余0.00万元，本年财政拨款收入94.73万元。</w:t>
      </w:r>
      <w:r>
        <w:rPr>
          <w:rFonts w:ascii="仿宋_GB2312" w:hAnsi="仿宋_GB2312" w:eastAsia="仿宋_GB2312"/>
          <w:b/>
          <w:sz w:val="32"/>
        </w:rPr>
        <w:t>财政拨款支出总计94.73万元，</w:t>
      </w:r>
      <w:r>
        <w:rPr>
          <w:rFonts w:ascii="仿宋_GB2312" w:hAnsi="仿宋_GB2312" w:eastAsia="仿宋_GB2312"/>
          <w:b w:val="0"/>
          <w:sz w:val="32"/>
        </w:rPr>
        <w:t>其中：年末财政拨款结转和结余0.00万元，本年财政拨款支出94.73万元。</w:t>
      </w:r>
    </w:p>
    <w:p w14:paraId="4C19837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增加4.71万元，增长5.23%，主要原因是：本年在职人员工资调增，社保、公积金基数调增，人员经费增加。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年初预算数95.85万元，决算数94.73万元，预决算差异率-1.17%，主要原因是：严格落实中央八项规定精神，厉行节约，减少不必要的开支。</w:t>
      </w:r>
    </w:p>
    <w:p w14:paraId="5318073E">
      <w:pPr>
        <w:spacing w:line="640" w:lineRule="exact"/>
        <w:ind w:firstLine="640"/>
        <w:jc w:val="both"/>
        <w:outlineLvl w:val="2"/>
      </w:pPr>
      <w:r>
        <w:rPr>
          <w:rFonts w:ascii="黑体" w:hAnsi="黑体" w:eastAsia="黑体"/>
          <w:sz w:val="32"/>
        </w:rPr>
        <w:t>五、一般公共预算财政拨款支出决算情况说明</w:t>
      </w:r>
    </w:p>
    <w:p w14:paraId="4DA1861D">
      <w:pPr>
        <w:spacing w:line="640" w:lineRule="exact"/>
        <w:ind w:firstLine="640"/>
        <w:jc w:val="both"/>
        <w:outlineLvl w:val="3"/>
      </w:pPr>
      <w:r>
        <w:rPr>
          <w:rFonts w:ascii="楷体_GB2312" w:hAnsi="楷体_GB2312" w:eastAsia="楷体_GB2312"/>
          <w:b/>
          <w:sz w:val="32"/>
        </w:rPr>
        <w:t>（一）一般公共预算财政拨款支出决算总体情况</w:t>
      </w:r>
    </w:p>
    <w:p w14:paraId="5B9CAC30">
      <w:pPr>
        <w:spacing w:line="580" w:lineRule="exact"/>
        <w:ind w:firstLine="640"/>
        <w:jc w:val="both"/>
      </w:pPr>
      <w:r>
        <w:rPr>
          <w:rFonts w:ascii="仿宋_GB2312" w:hAnsi="仿宋_GB2312" w:eastAsia="仿宋_GB2312"/>
          <w:b/>
          <w:sz w:val="32"/>
        </w:rPr>
        <w:t>2024年度一般公共预算财政拨款支出94.73万元，</w:t>
      </w:r>
      <w:r>
        <w:rPr>
          <w:rFonts w:ascii="仿宋_GB2312" w:hAnsi="仿宋_GB2312" w:eastAsia="仿宋_GB2312"/>
          <w:b w:val="0"/>
          <w:sz w:val="32"/>
        </w:rPr>
        <w:t>占本年支出合计的96.81%。</w:t>
      </w:r>
      <w:r>
        <w:rPr>
          <w:rFonts w:ascii="仿宋_GB2312" w:hAnsi="仿宋_GB2312" w:eastAsia="仿宋_GB2312"/>
          <w:b/>
          <w:sz w:val="32"/>
        </w:rPr>
        <w:t>与上年相比，</w:t>
      </w:r>
      <w:r>
        <w:rPr>
          <w:rFonts w:ascii="仿宋_GB2312" w:hAnsi="仿宋_GB2312" w:eastAsia="仿宋_GB2312"/>
          <w:b w:val="0"/>
          <w:sz w:val="32"/>
        </w:rPr>
        <w:t>增加4.71万元，增长5.23%，主要原因是：本年在职人员工资调增，社保、公积金基数调增，人员经费增加。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年初预算数95.85万元，决算数94.73万元，预决算差异率-1.17%，主要原因是：严格落实中央八项规定精神，厉行节约，减少不必要的开支。</w:t>
      </w:r>
    </w:p>
    <w:p w14:paraId="037186B8">
      <w:pPr>
        <w:spacing w:line="640" w:lineRule="exact"/>
        <w:ind w:firstLine="640"/>
        <w:jc w:val="both"/>
        <w:outlineLvl w:val="3"/>
      </w:pPr>
      <w:r>
        <w:rPr>
          <w:rFonts w:ascii="楷体_GB2312" w:hAnsi="楷体_GB2312" w:eastAsia="楷体_GB2312"/>
          <w:b/>
          <w:sz w:val="32"/>
        </w:rPr>
        <w:t>（二）一般公共预算财政拨款支出决算结构情况</w:t>
      </w:r>
    </w:p>
    <w:p w14:paraId="547D9973">
      <w:pPr>
        <w:spacing w:line="580" w:lineRule="exact"/>
        <w:ind w:firstLine="640"/>
        <w:jc w:val="both"/>
      </w:pPr>
      <w:r>
        <w:rPr>
          <w:rFonts w:ascii="仿宋_GB2312" w:hAnsi="仿宋_GB2312" w:eastAsia="仿宋_GB2312"/>
          <w:b w:val="0"/>
          <w:sz w:val="32"/>
        </w:rPr>
        <w:t>1.社会保障和就业支出(类)12.92万元,占13.64%。</w:t>
      </w:r>
    </w:p>
    <w:p w14:paraId="5FFF0388">
      <w:pPr>
        <w:spacing w:line="580" w:lineRule="exact"/>
        <w:ind w:firstLine="640"/>
        <w:jc w:val="both"/>
      </w:pPr>
      <w:r>
        <w:rPr>
          <w:rFonts w:ascii="仿宋_GB2312" w:hAnsi="仿宋_GB2312" w:eastAsia="仿宋_GB2312"/>
          <w:b w:val="0"/>
          <w:sz w:val="32"/>
        </w:rPr>
        <w:t>2.卫生健康支出(类)3.27万元,占3.45%。</w:t>
      </w:r>
    </w:p>
    <w:p w14:paraId="3F6FC4E1">
      <w:pPr>
        <w:spacing w:line="580" w:lineRule="exact"/>
        <w:ind w:firstLine="640"/>
        <w:jc w:val="both"/>
      </w:pPr>
      <w:r>
        <w:rPr>
          <w:rFonts w:ascii="仿宋_GB2312" w:hAnsi="仿宋_GB2312" w:eastAsia="仿宋_GB2312"/>
          <w:b w:val="0"/>
          <w:sz w:val="32"/>
        </w:rPr>
        <w:t>3.住房保障支出(类)7.28万元,占7.68%。</w:t>
      </w:r>
    </w:p>
    <w:p w14:paraId="797EF2B0">
      <w:pPr>
        <w:spacing w:line="580" w:lineRule="exact"/>
        <w:ind w:firstLine="640"/>
        <w:jc w:val="both"/>
      </w:pPr>
      <w:r>
        <w:rPr>
          <w:rFonts w:ascii="仿宋_GB2312" w:hAnsi="仿宋_GB2312" w:eastAsia="仿宋_GB2312"/>
          <w:b w:val="0"/>
          <w:sz w:val="32"/>
        </w:rPr>
        <w:t>4.灾害防治及应急管理支出(类)71.26万元,占75.22%。</w:t>
      </w:r>
    </w:p>
    <w:p w14:paraId="44054888">
      <w:pPr>
        <w:spacing w:line="640" w:lineRule="exact"/>
        <w:ind w:firstLine="640"/>
        <w:jc w:val="both"/>
        <w:outlineLvl w:val="3"/>
      </w:pPr>
      <w:r>
        <w:rPr>
          <w:rFonts w:ascii="楷体_GB2312" w:hAnsi="楷体_GB2312" w:eastAsia="楷体_GB2312"/>
          <w:b/>
          <w:sz w:val="32"/>
        </w:rPr>
        <w:t>（三）一般公共预算财政拨款支出决算具体情况</w:t>
      </w:r>
    </w:p>
    <w:p w14:paraId="24C9550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1.社会保障和就业支出(类)行政事业单位养老支出(款)行政单位离退休(项):支出决算数为3.47万元，比上年决算增加0.52万元，增长17.63%,主要原因是：本年增加退休人员基础绩效奖，退休费支出增加。</w:t>
      </w:r>
    </w:p>
    <w:p w14:paraId="220F9EE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9.45万元，比上年决算增加1.60万元，增长20.38%,主要原因是：本年在职人员工资基数调增，养老缴费基数上涨，相应支出增加。</w:t>
      </w:r>
    </w:p>
    <w:p w14:paraId="76F3A4A5">
      <w:pPr>
        <w:spacing w:line="580" w:lineRule="exact"/>
        <w:ind w:firstLine="640"/>
        <w:jc w:val="both"/>
      </w:pPr>
      <w:r>
        <w:rPr>
          <w:rFonts w:ascii="仿宋_GB2312" w:hAnsi="仿宋_GB2312" w:eastAsia="仿宋_GB2312"/>
          <w:b w:val="0"/>
          <w:sz w:val="32"/>
        </w:rPr>
        <w:t>3.卫生健康支出(类)行政事业单位医疗(款)行政单位医疗(项):支出决算数为0.00万元，比上年决算减少1.73万元，下降100.00%,主要原因是：本年功能科目调整，部分医疗缴费上年度在行政单位医疗列支，本年调整至事业单位医疗科目列支，导致经费较上年减少。</w:t>
      </w:r>
    </w:p>
    <w:p w14:paraId="06A7B250">
      <w:pPr>
        <w:spacing w:line="580" w:lineRule="exact"/>
        <w:ind w:firstLine="640"/>
        <w:jc w:val="both"/>
      </w:pPr>
      <w:r>
        <w:rPr>
          <w:rFonts w:ascii="仿宋_GB2312" w:hAnsi="仿宋_GB2312" w:eastAsia="仿宋_GB2312"/>
          <w:b w:val="0"/>
          <w:sz w:val="32"/>
        </w:rPr>
        <w:t>4.卫生健康支出(类)行政事业单位医疗(款)事业单位医疗(项):支出决算数为3.27万元，比上年决算增加0.64万元，增长24.33%,主要原因是：本年在职人员工资基数调增，医疗缴费基数上涨，相应支出增加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本年功能科目调整，部分医疗缴费上年度在行政单位医疗列支，本年调整至事业单位医疗科目列支，导致经费较上年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5A1B7CB1">
      <w:pPr>
        <w:spacing w:line="580" w:lineRule="exact"/>
        <w:ind w:firstLine="640"/>
        <w:jc w:val="both"/>
      </w:pPr>
      <w:r>
        <w:rPr>
          <w:rFonts w:ascii="仿宋_GB2312" w:hAnsi="仿宋_GB2312" w:eastAsia="仿宋_GB2312"/>
          <w:b w:val="0"/>
          <w:sz w:val="32"/>
        </w:rPr>
        <w:t>5.住房保障支出(类)住房改革支出(款)住房公积金(项):支出决算数为7.28万元，比上年决算增加0.87万元，增长13.57%,主要原因是：本年在职人员工资基数调增，公积金缴费基数上涨，相应支出增加。</w:t>
      </w:r>
    </w:p>
    <w:p w14:paraId="1B600511">
      <w:pPr>
        <w:spacing w:line="580" w:lineRule="exact"/>
        <w:ind w:firstLine="640"/>
        <w:jc w:val="both"/>
      </w:pPr>
      <w:r>
        <w:rPr>
          <w:rFonts w:ascii="仿宋_GB2312" w:hAnsi="仿宋_GB2312" w:eastAsia="仿宋_GB2312"/>
          <w:b w:val="0"/>
          <w:sz w:val="32"/>
        </w:rPr>
        <w:t>6.灾害防治及应急管理支出(类)地震事务(款)行政运行(项):支出决算数为0.48万元，比上年决算增加0.45万元，增长1,500.00%,主要原因是：本年办公费支出增加。</w:t>
      </w:r>
    </w:p>
    <w:p w14:paraId="6BC83005">
      <w:pPr>
        <w:spacing w:line="580" w:lineRule="exact"/>
        <w:ind w:firstLine="640"/>
        <w:jc w:val="both"/>
      </w:pPr>
      <w:r>
        <w:rPr>
          <w:rFonts w:ascii="仿宋_GB2312" w:hAnsi="仿宋_GB2312" w:eastAsia="仿宋_GB2312"/>
          <w:b w:val="0"/>
          <w:sz w:val="32"/>
        </w:rPr>
        <w:t>7.灾害防治及应急管理支出(类)地震事务(款)地震事业机构(项):支出决算数为70.78万元，比上年决算增加2.34万元，增长3.42%,主要原因是：本年在职人员工资调增，导致相关人员经费较上年有所增加；本年增加防震减灾“三网一员”工作经费补贴资金。</w:t>
      </w:r>
    </w:p>
    <w:p w14:paraId="2FEE1B35">
      <w:pPr>
        <w:spacing w:line="640" w:lineRule="exact"/>
        <w:ind w:firstLine="640"/>
        <w:jc w:val="both"/>
        <w:outlineLvl w:val="2"/>
      </w:pPr>
      <w:r>
        <w:rPr>
          <w:rFonts w:ascii="黑体" w:hAnsi="黑体" w:eastAsia="黑体"/>
          <w:sz w:val="32"/>
        </w:rPr>
        <w:t>六、一般公共预算财政拨款基本支出决算情况说明</w:t>
      </w:r>
    </w:p>
    <w:p w14:paraId="2F57BB94">
      <w:pPr>
        <w:spacing w:line="580" w:lineRule="exact"/>
        <w:ind w:firstLine="640"/>
        <w:jc w:val="both"/>
      </w:pPr>
      <w:r>
        <w:rPr>
          <w:rFonts w:ascii="仿宋_GB2312" w:hAnsi="仿宋_GB2312" w:eastAsia="仿宋_GB2312"/>
          <w:b w:val="0"/>
          <w:sz w:val="32"/>
        </w:rPr>
        <w:t>2024年度一般公共预算财政拨款基本支出91.61万元，其中：</w:t>
      </w:r>
      <w:r>
        <w:rPr>
          <w:rFonts w:ascii="仿宋_GB2312" w:hAnsi="仿宋_GB2312" w:eastAsia="仿宋_GB2312"/>
          <w:b/>
          <w:sz w:val="32"/>
        </w:rPr>
        <w:t>人员经费91.13万元，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32957333">
      <w:pPr>
        <w:spacing w:line="580" w:lineRule="exact"/>
        <w:ind w:firstLine="640"/>
        <w:jc w:val="both"/>
      </w:pPr>
      <w:r>
        <w:rPr>
          <w:rFonts w:ascii="仿宋_GB2312" w:hAnsi="仿宋_GB2312" w:eastAsia="仿宋_GB2312"/>
          <w:b/>
          <w:sz w:val="32"/>
        </w:rPr>
        <w:t>公用经费0.48万元，</w:t>
      </w:r>
      <w:r>
        <w:rPr>
          <w:rFonts w:ascii="仿宋_GB2312" w:hAnsi="仿宋_GB2312" w:eastAsia="仿宋_GB2312"/>
          <w:b w:val="0"/>
          <w:sz w:val="32"/>
        </w:rPr>
        <w:t>包括：办公费。</w:t>
      </w:r>
    </w:p>
    <w:p w14:paraId="64E05977">
      <w:pPr>
        <w:spacing w:line="640" w:lineRule="exact"/>
        <w:ind w:firstLine="640"/>
        <w:jc w:val="both"/>
        <w:outlineLvl w:val="2"/>
      </w:pPr>
      <w:r>
        <w:rPr>
          <w:rFonts w:ascii="黑体" w:hAnsi="黑体" w:eastAsia="黑体"/>
          <w:sz w:val="32"/>
        </w:rPr>
        <w:t>七、政府性基金预算财政拨款收入支出决算情况说明</w:t>
      </w:r>
    </w:p>
    <w:p w14:paraId="6B9300F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2CBA62">
      <w:pPr>
        <w:spacing w:line="640" w:lineRule="exact"/>
        <w:ind w:firstLine="640"/>
        <w:jc w:val="both"/>
        <w:outlineLvl w:val="2"/>
      </w:pPr>
      <w:r>
        <w:rPr>
          <w:rFonts w:ascii="黑体" w:hAnsi="黑体" w:eastAsia="黑体"/>
          <w:sz w:val="32"/>
        </w:rPr>
        <w:t>八、国有资本经营预算财政拨款收入支出决算情况说明</w:t>
      </w:r>
    </w:p>
    <w:p w14:paraId="7C08EC7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D24F36">
      <w:pPr>
        <w:spacing w:line="640" w:lineRule="exact"/>
        <w:ind w:firstLine="640"/>
        <w:jc w:val="both"/>
        <w:outlineLvl w:val="2"/>
      </w:pPr>
      <w:r>
        <w:rPr>
          <w:rFonts w:ascii="黑体" w:hAnsi="黑体" w:eastAsia="黑体"/>
          <w:sz w:val="32"/>
        </w:rPr>
        <w:t>九、财政拨款“三公”经费支出决算情况说明</w:t>
      </w:r>
    </w:p>
    <w:p w14:paraId="04E8B37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B78D21">
      <w:pPr>
        <w:spacing w:line="580" w:lineRule="exact"/>
        <w:ind w:firstLine="640"/>
        <w:jc w:val="both"/>
      </w:pPr>
      <w:r>
        <w:rPr>
          <w:rFonts w:ascii="仿宋_GB2312" w:hAnsi="仿宋_GB2312" w:eastAsia="仿宋_GB2312"/>
          <w:b/>
          <w:sz w:val="32"/>
        </w:rPr>
        <w:t>具体情况如下：</w:t>
      </w:r>
    </w:p>
    <w:p w14:paraId="646B13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F2CC6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26FCA9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676C6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27A994">
      <w:pPr>
        <w:spacing w:line="640" w:lineRule="exact"/>
        <w:ind w:firstLine="640"/>
        <w:jc w:val="both"/>
        <w:outlineLvl w:val="2"/>
      </w:pPr>
      <w:r>
        <w:rPr>
          <w:rFonts w:ascii="黑体" w:hAnsi="黑体" w:eastAsia="黑体"/>
          <w:sz w:val="32"/>
        </w:rPr>
        <w:t>十、其他重要事项的情况说明</w:t>
      </w:r>
    </w:p>
    <w:p w14:paraId="5A4FD4A3">
      <w:pPr>
        <w:spacing w:line="640" w:lineRule="exact"/>
        <w:ind w:firstLine="640"/>
        <w:jc w:val="both"/>
        <w:outlineLvl w:val="3"/>
      </w:pPr>
      <w:r>
        <w:rPr>
          <w:rFonts w:ascii="楷体_GB2312" w:hAnsi="楷体_GB2312" w:eastAsia="楷体_GB2312"/>
          <w:b/>
          <w:sz w:val="32"/>
        </w:rPr>
        <w:t>（一）机关运行经费及公用经费支出情况</w:t>
      </w:r>
    </w:p>
    <w:p w14:paraId="214B7FCC">
      <w:pPr>
        <w:spacing w:line="580" w:lineRule="exact"/>
        <w:ind w:firstLine="640"/>
        <w:jc w:val="both"/>
      </w:pPr>
      <w:r>
        <w:rPr>
          <w:rFonts w:ascii="仿宋_GB2312" w:hAnsi="仿宋_GB2312" w:eastAsia="仿宋_GB2312"/>
          <w:b w:val="0"/>
          <w:sz w:val="32"/>
        </w:rPr>
        <w:t>2024年度阿克陶县地震服务中心（事业单位）公用经费支出0.48万元，比上年减少0.12万元，下降20.00%，主要原因是：严格控制公用经费，合理节约办公用品，减少不必要开支。</w:t>
      </w:r>
    </w:p>
    <w:p w14:paraId="7F358DB1">
      <w:pPr>
        <w:spacing w:line="640" w:lineRule="exact"/>
        <w:ind w:firstLine="640"/>
        <w:jc w:val="both"/>
        <w:outlineLvl w:val="3"/>
      </w:pPr>
      <w:r>
        <w:rPr>
          <w:rFonts w:ascii="楷体_GB2312" w:hAnsi="楷体_GB2312" w:eastAsia="楷体_GB2312"/>
          <w:b/>
          <w:sz w:val="32"/>
        </w:rPr>
        <w:t>（二）政府采购情况</w:t>
      </w:r>
    </w:p>
    <w:p w14:paraId="7D3D976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1EB92C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07D4795">
      <w:pPr>
        <w:spacing w:line="640" w:lineRule="exact"/>
        <w:ind w:firstLine="640"/>
        <w:jc w:val="both"/>
        <w:outlineLvl w:val="3"/>
      </w:pPr>
      <w:r>
        <w:rPr>
          <w:rFonts w:ascii="楷体_GB2312" w:hAnsi="楷体_GB2312" w:eastAsia="楷体_GB2312"/>
          <w:b/>
          <w:sz w:val="32"/>
        </w:rPr>
        <w:t>（三）国有资产占用情况说明</w:t>
      </w:r>
    </w:p>
    <w:p w14:paraId="361E846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DB610D">
      <w:pPr>
        <w:spacing w:line="640" w:lineRule="exact"/>
        <w:ind w:firstLine="640"/>
        <w:jc w:val="both"/>
        <w:outlineLvl w:val="2"/>
      </w:pPr>
      <w:r>
        <w:rPr>
          <w:rFonts w:ascii="黑体" w:hAnsi="黑体" w:eastAsia="黑体"/>
          <w:sz w:val="32"/>
        </w:rPr>
        <w:t>十一、预算绩效的情况说明</w:t>
      </w:r>
    </w:p>
    <w:p w14:paraId="7026BD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99.85万元，实际执行总额97.85万元；预算绩效评价项目1个，全年预算数3.12万元，全年执行数3.12万元。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建议项目实施</w:t>
      </w:r>
      <w:r>
        <w:rPr>
          <w:rFonts w:hint="eastAsia" w:ascii="仿宋_GB2312" w:hAnsi="仿宋_GB2312" w:eastAsia="仿宋_GB2312"/>
          <w:b w:val="0"/>
          <w:sz w:val="32"/>
          <w:lang w:eastAsia="zh-CN"/>
        </w:rPr>
        <w:t>单位</w:t>
      </w:r>
      <w:r>
        <w:rPr>
          <w:rFonts w:ascii="仿宋_GB2312" w:hAnsi="仿宋_GB2312" w:eastAsia="仿宋_GB2312"/>
          <w:b w:val="0"/>
          <w:sz w:val="32"/>
        </w:rPr>
        <w:t>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三是建议项目实施单位做好项目绩效跟踪监控工作，对实际开展工作与预期目标值产生较大偏差情况，应及时做好偏差原因分析和纠偏工作，不断提升绩效目标与项目实际工作的匹配度。四是加强预算资金管理，严格落实项目申报、专家评审、确定项目后进行资金分配与资金拨付，规范资金拨付流程。具体附整体支出绩效自评表，项目支出绩效自评表和评价报告。</w:t>
      </w:r>
    </w:p>
    <w:p w14:paraId="20CB99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E666440">
        <w:tblPrEx>
          <w:tblCellMar>
            <w:top w:w="0" w:type="dxa"/>
            <w:left w:w="108" w:type="dxa"/>
            <w:bottom w:w="0" w:type="dxa"/>
            <w:right w:w="108" w:type="dxa"/>
          </w:tblCellMar>
        </w:tblPrEx>
        <w:tc>
          <w:tcPr>
            <w:tcW w:w="8840" w:type="dxa"/>
            <w:gridSpan w:val="8"/>
            <w:vAlign w:val="center"/>
          </w:tcPr>
          <w:p w14:paraId="37458F80">
            <w:pPr>
              <w:jc w:val="center"/>
            </w:pPr>
            <w:r>
              <w:rPr>
                <w:rFonts w:ascii="宋体" w:hAnsi="宋体" w:eastAsia="宋体"/>
                <w:sz w:val="24"/>
              </w:rPr>
              <w:t>单位整体支出绩效自评表</w:t>
            </w:r>
          </w:p>
        </w:tc>
      </w:tr>
      <w:tr w14:paraId="24C020DB">
        <w:tblPrEx>
          <w:tblCellMar>
            <w:top w:w="0" w:type="dxa"/>
            <w:left w:w="108" w:type="dxa"/>
            <w:bottom w:w="0" w:type="dxa"/>
            <w:right w:w="108" w:type="dxa"/>
          </w:tblCellMar>
        </w:tblPrEx>
        <w:tc>
          <w:tcPr>
            <w:tcW w:w="8840" w:type="dxa"/>
            <w:gridSpan w:val="8"/>
            <w:vAlign w:val="center"/>
          </w:tcPr>
          <w:p w14:paraId="5928E122">
            <w:pPr>
              <w:jc w:val="center"/>
            </w:pPr>
            <w:r>
              <w:rPr>
                <w:rFonts w:ascii="宋体" w:hAnsi="宋体" w:eastAsia="宋体"/>
                <w:sz w:val="24"/>
              </w:rPr>
              <w:t>（2024年度）</w:t>
            </w:r>
          </w:p>
        </w:tc>
      </w:tr>
      <w:tr w14:paraId="304C9B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AF34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0D3A4">
            <w:pPr>
              <w:jc w:val="center"/>
            </w:pPr>
            <w:r>
              <w:rPr>
                <w:rFonts w:ascii="宋体" w:hAnsi="宋体" w:eastAsia="宋体"/>
                <w:sz w:val="16"/>
              </w:rPr>
              <w:t>阿克陶县</w:t>
            </w:r>
            <w:bookmarkStart w:id="0" w:name="_GoBack"/>
            <w:r>
              <w:rPr>
                <w:rFonts w:ascii="宋体" w:hAnsi="宋体" w:eastAsia="宋体"/>
                <w:sz w:val="16"/>
              </w:rPr>
              <w:t>地震服务中心</w:t>
            </w:r>
            <w:bookmarkEnd w:id="0"/>
          </w:p>
        </w:tc>
      </w:tr>
      <w:tr w14:paraId="238FF9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0CC8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6FE4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0D5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F15C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129F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01D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7107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3AB90">
            <w:pPr>
              <w:jc w:val="center"/>
            </w:pPr>
            <w:r>
              <w:rPr>
                <w:rFonts w:ascii="宋体" w:hAnsi="宋体" w:eastAsia="宋体"/>
                <w:sz w:val="16"/>
              </w:rPr>
              <w:t>得分</w:t>
            </w:r>
          </w:p>
        </w:tc>
      </w:tr>
      <w:tr w14:paraId="4AE692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611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7473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C0CCC">
            <w:pPr>
              <w:jc w:val="center"/>
            </w:pPr>
            <w:r>
              <w:rPr>
                <w:rFonts w:ascii="宋体" w:hAnsi="宋体" w:eastAsia="宋体"/>
                <w:sz w:val="16"/>
              </w:rPr>
              <w:t>95.85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D982D">
            <w:pPr>
              <w:jc w:val="center"/>
            </w:pPr>
            <w:r>
              <w:rPr>
                <w:rFonts w:ascii="宋体" w:hAnsi="宋体" w:eastAsia="宋体"/>
                <w:sz w:val="16"/>
              </w:rPr>
              <w:t>99.85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F2459">
            <w:pPr>
              <w:jc w:val="center"/>
            </w:pPr>
            <w:r>
              <w:rPr>
                <w:rFonts w:ascii="宋体" w:hAnsi="宋体" w:eastAsia="宋体"/>
                <w:sz w:val="16"/>
              </w:rPr>
              <w:t>97.85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453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A982D">
            <w:pPr>
              <w:jc w:val="center"/>
            </w:pPr>
            <w:r>
              <w:rPr>
                <w:rFonts w:ascii="宋体" w:hAnsi="宋体" w:eastAsia="宋体"/>
                <w:sz w:val="16"/>
              </w:rPr>
              <w:t>98.00%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8EABF">
            <w:pPr>
              <w:jc w:val="center"/>
            </w:pPr>
            <w:r>
              <w:rPr>
                <w:rFonts w:ascii="宋体" w:hAnsi="宋体" w:eastAsia="宋体"/>
                <w:sz w:val="16"/>
              </w:rPr>
              <w:t>9.8</w:t>
            </w:r>
          </w:p>
        </w:tc>
      </w:tr>
      <w:tr w14:paraId="752241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874D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3B3F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9883B">
            <w:pPr>
              <w:jc w:val="center"/>
            </w:pPr>
            <w:r>
              <w:rPr>
                <w:rFonts w:ascii="宋体" w:hAnsi="宋体" w:eastAsia="宋体"/>
                <w:sz w:val="16"/>
              </w:rPr>
              <w:t>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805CA">
            <w:pPr>
              <w:jc w:val="center"/>
            </w:pPr>
            <w:r>
              <w:rPr>
                <w:rFonts w:ascii="宋体" w:hAnsi="宋体" w:eastAsia="宋体"/>
                <w:sz w:val="16"/>
              </w:rPr>
              <w:t>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6247C">
            <w:pPr>
              <w:jc w:val="center"/>
            </w:pPr>
            <w:r>
              <w:rPr>
                <w:rFonts w:ascii="宋体" w:hAnsi="宋体" w:eastAsia="宋体"/>
                <w:sz w:val="16"/>
              </w:rPr>
              <w:t>3.12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5D4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93E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C62F2">
            <w:pPr>
              <w:jc w:val="center"/>
            </w:pPr>
            <w:r>
              <w:rPr>
                <w:rFonts w:ascii="宋体" w:hAnsi="宋体" w:eastAsia="宋体"/>
                <w:sz w:val="16"/>
              </w:rPr>
              <w:t>—</w:t>
            </w:r>
          </w:p>
        </w:tc>
      </w:tr>
      <w:tr w14:paraId="1E4B50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5963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5683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192AF">
            <w:pPr>
              <w:jc w:val="center"/>
            </w:pPr>
            <w:r>
              <w:rPr>
                <w:rFonts w:ascii="宋体" w:hAnsi="宋体" w:eastAsia="宋体"/>
                <w:sz w:val="16"/>
              </w:rPr>
              <w:t>92.73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114BF">
            <w:pPr>
              <w:jc w:val="center"/>
            </w:pPr>
            <w:r>
              <w:rPr>
                <w:rFonts w:ascii="宋体" w:hAnsi="宋体" w:eastAsia="宋体"/>
                <w:sz w:val="16"/>
              </w:rPr>
              <w:t>96.73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9D68E">
            <w:pPr>
              <w:jc w:val="center"/>
            </w:pPr>
            <w:r>
              <w:rPr>
                <w:rFonts w:ascii="宋体" w:hAnsi="宋体" w:eastAsia="宋体"/>
                <w:sz w:val="16"/>
              </w:rPr>
              <w:t>94.73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E6B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ABA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0AC87">
            <w:pPr>
              <w:jc w:val="center"/>
            </w:pPr>
            <w:r>
              <w:rPr>
                <w:rFonts w:ascii="宋体" w:hAnsi="宋体" w:eastAsia="宋体"/>
                <w:sz w:val="16"/>
              </w:rPr>
              <w:t>—</w:t>
            </w:r>
          </w:p>
        </w:tc>
      </w:tr>
      <w:tr w14:paraId="3EBCE2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B6D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4FEE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C29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873D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BD4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7AB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C6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55E9B">
            <w:pPr>
              <w:jc w:val="center"/>
            </w:pPr>
            <w:r>
              <w:rPr>
                <w:rFonts w:ascii="宋体" w:hAnsi="宋体" w:eastAsia="宋体"/>
                <w:sz w:val="16"/>
              </w:rPr>
              <w:t>—</w:t>
            </w:r>
          </w:p>
        </w:tc>
      </w:tr>
      <w:tr w14:paraId="64DB3D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8ECA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21F0B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86896A">
            <w:pPr>
              <w:jc w:val="center"/>
            </w:pPr>
            <w:r>
              <w:rPr>
                <w:rFonts w:ascii="宋体" w:hAnsi="宋体" w:eastAsia="宋体"/>
                <w:sz w:val="16"/>
              </w:rPr>
              <w:t>实际完成情况</w:t>
            </w:r>
          </w:p>
        </w:tc>
      </w:tr>
      <w:tr w14:paraId="312A31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F301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CEE31">
            <w:pPr>
              <w:jc w:val="both"/>
            </w:pPr>
            <w:r>
              <w:rPr>
                <w:rFonts w:ascii="宋体" w:hAnsi="宋体" w:eastAsia="宋体"/>
                <w:sz w:val="16"/>
              </w:rPr>
              <w:t>加强内部管理，不断完善工作机制，健全工作制度，以制度管人管事，进一步明确岗位职责，明确目标责任；加强对“三网一员”的培训和指导，切实加强三网一员的综合素质能力、对他们进行考核，及时淘汰不适合的“三网一员”。强化日常宏观观测，由“三网一员”按时按要求做好地震前兆数据的观测和上报工作，防震减灾指挥中心积极做好震情信息收集、汇总、上报和分析处置工作，确保群测群防队伍发挥作用；强化地震应急救援队伍培训与建设，提高应急演练质量和救援能力，联合教育、卫生、消防等部门根据预案及演练脚本，指导、督促学校、集市、医院等人口密集场所开展应急演练。协同配合住建、应急管理局等部门加强应急避难场所建设及应急物资储备，合理划置避难场所分布图</w:t>
            </w:r>
            <w:r>
              <w:rPr>
                <w:rFonts w:hint="eastAsia" w:ascii="宋体" w:hAnsi="宋体"/>
                <w:sz w:val="16"/>
                <w:lang w:eastAsia="zh-CN"/>
              </w:rPr>
              <w:t>，</w:t>
            </w:r>
            <w:r>
              <w:rPr>
                <w:rFonts w:ascii="宋体" w:hAnsi="宋体" w:eastAsia="宋体"/>
                <w:sz w:val="16"/>
              </w:rPr>
              <w:t>持续加强防震减灾科普知识的宣传、督促各单位、乡镇场及时更深本区域防震减灾应急演练。继续做好乡村振兴工作。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456AB4">
            <w:pPr>
              <w:jc w:val="both"/>
            </w:pPr>
            <w:r>
              <w:rPr>
                <w:rFonts w:ascii="宋体" w:hAnsi="宋体" w:eastAsia="宋体"/>
                <w:sz w:val="16"/>
              </w:rPr>
              <w:t>目标1：保障(4人)人员工资按时按标准发放基 本工资、津贴补贴、奖金、机关事业单位</w:t>
            </w:r>
            <w:r>
              <w:rPr>
                <w:rFonts w:hint="eastAsia" w:ascii="宋体" w:hAnsi="宋体"/>
                <w:sz w:val="16"/>
                <w:lang w:eastAsia="zh-CN"/>
              </w:rPr>
              <w:t>基本养老保险</w:t>
            </w:r>
            <w:r>
              <w:rPr>
                <w:rFonts w:ascii="宋体" w:hAnsi="宋体" w:eastAsia="宋体"/>
                <w:sz w:val="16"/>
              </w:rPr>
              <w:t>缴费、职工基本医疗保险缴费、其他社会保障缴费、住房公积金等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目标2：保障单位办公费、 取暖费（发放6人）、其他商品和服务支出等。                                                 目标3:一是2024年全年上报县域内震情信息14期。二是整理和上报宏观观测数据156份。三是对全县“三网一员”及各个乡镇场的防灾减灾联系人进行业务培训3次，其中现场培训1次、线上培训2次。四是结合阿克陶县防震减灾工作实际重新修订《阿克陶县2024年震情跟踪监视和应急准备工作实施方案》《2024年阿克陶县防震减灾和抗震救灾工作要点》等。五是深入学校、社区、集市等人员密集场所开展防震减灾系列的活动，同时发放了宣传手册，2024年累计发放宣传资料2000余份，受益人达1200多人。六是依托兵团项目在县域内，总计长度约51.3公里，积极配合新疆地震局在县城内安装地震预警终端7处，切实提高地震防范能力。七是为进一步摸清阿克陶县抗震设防应急准备能力，开展对震灾防御基础数据的整理上报工作两次。</w:t>
            </w:r>
          </w:p>
        </w:tc>
      </w:tr>
      <w:tr w14:paraId="055A32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F13B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83D0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7F59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DE4D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01B1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5E4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66D7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08E0C">
            <w:pPr>
              <w:jc w:val="center"/>
            </w:pPr>
            <w:r>
              <w:rPr>
                <w:rFonts w:ascii="宋体" w:hAnsi="宋体" w:eastAsia="宋体"/>
                <w:sz w:val="16"/>
              </w:rPr>
              <w:t>得分</w:t>
            </w:r>
          </w:p>
        </w:tc>
      </w:tr>
      <w:tr w14:paraId="64EF6F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6AAF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2FC5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AD0A6">
            <w:pPr>
              <w:jc w:val="center"/>
            </w:pPr>
            <w:r>
              <w:rPr>
                <w:rFonts w:ascii="宋体" w:hAnsi="宋体" w:eastAsia="宋体"/>
                <w:sz w:val="16"/>
              </w:rPr>
              <w:t>人员经费保障人员人数（人）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E1403">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93BDF">
            <w:pPr>
              <w:jc w:val="center"/>
            </w:pPr>
            <w:r>
              <w:rPr>
                <w:rFonts w:ascii="宋体" w:hAnsi="宋体" w:eastAsia="宋体"/>
                <w:sz w:val="16"/>
              </w:rPr>
              <w:t>上年度10月工资册汇总表\人员编制增减变动的批复文件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CE45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7D5A5">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6F201">
            <w:pPr>
              <w:jc w:val="center"/>
            </w:pPr>
            <w:r>
              <w:rPr>
                <w:rFonts w:ascii="宋体" w:hAnsi="宋体" w:eastAsia="宋体"/>
                <w:sz w:val="16"/>
              </w:rPr>
              <w:t>10</w:t>
            </w:r>
          </w:p>
        </w:tc>
      </w:tr>
      <w:tr w14:paraId="47F880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BCF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B1C2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687F8">
            <w:pPr>
              <w:jc w:val="center"/>
            </w:pPr>
            <w:r>
              <w:rPr>
                <w:rFonts w:ascii="宋体" w:hAnsi="宋体" w:eastAsia="宋体"/>
                <w:sz w:val="16"/>
              </w:rPr>
              <w:t>人员经费（万元）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7A396">
            <w:pPr>
              <w:jc w:val="center"/>
            </w:pPr>
            <w:r>
              <w:rPr>
                <w:rFonts w:ascii="宋体" w:hAnsi="宋体" w:eastAsia="宋体"/>
                <w:sz w:val="16"/>
              </w:rPr>
              <w:t>&lt;=90.56万元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E2EA1">
            <w:pPr>
              <w:jc w:val="center"/>
            </w:pPr>
            <w:r>
              <w:rPr>
                <w:rFonts w:ascii="宋体" w:hAnsi="宋体" w:eastAsia="宋体"/>
                <w:sz w:val="16"/>
              </w:rPr>
              <w:t>根据编制数和人员各项标准规定核算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16D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D88D0">
            <w:pPr>
              <w:jc w:val="center"/>
            </w:pPr>
            <w:r>
              <w:rPr>
                <w:rFonts w:ascii="宋体" w:hAnsi="宋体" w:eastAsia="宋体"/>
                <w:sz w:val="16"/>
              </w:rPr>
              <w:t>91.13万元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B732D">
            <w:pPr>
              <w:jc w:val="center"/>
            </w:pPr>
            <w:r>
              <w:rPr>
                <w:rFonts w:ascii="宋体" w:hAnsi="宋体" w:eastAsia="宋体"/>
                <w:sz w:val="16"/>
              </w:rPr>
              <w:t>9.94</w:t>
            </w:r>
          </w:p>
        </w:tc>
      </w:tr>
      <w:tr w14:paraId="3B840F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3AB45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831C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53683">
            <w:pPr>
              <w:jc w:val="center"/>
            </w:pPr>
            <w:r>
              <w:rPr>
                <w:rFonts w:ascii="宋体" w:hAnsi="宋体" w:eastAsia="宋体"/>
                <w:sz w:val="16"/>
              </w:rPr>
              <w:t>公用经费（万元）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5EB12">
            <w:pPr>
              <w:jc w:val="center"/>
            </w:pPr>
            <w:r>
              <w:rPr>
                <w:rFonts w:ascii="宋体" w:hAnsi="宋体" w:eastAsia="宋体"/>
                <w:sz w:val="16"/>
              </w:rPr>
              <w:t>&lt;=2.17万元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41437">
            <w:pPr>
              <w:jc w:val="center"/>
            </w:pPr>
            <w:r>
              <w:rPr>
                <w:rFonts w:ascii="宋体" w:hAnsi="宋体" w:eastAsia="宋体"/>
                <w:sz w:val="16"/>
              </w:rPr>
              <w:t>单位正常运转需求和人均需求测算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21A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4316D">
            <w:pPr>
              <w:jc w:val="center"/>
            </w:pPr>
            <w:r>
              <w:rPr>
                <w:rFonts w:ascii="宋体" w:hAnsi="宋体" w:eastAsia="宋体"/>
                <w:sz w:val="16"/>
              </w:rPr>
              <w:t>0.48万元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297EA">
            <w:pPr>
              <w:jc w:val="center"/>
            </w:pPr>
            <w:r>
              <w:rPr>
                <w:rFonts w:ascii="宋体" w:hAnsi="宋体" w:eastAsia="宋体"/>
                <w:sz w:val="16"/>
              </w:rPr>
              <w:t>2.21</w:t>
            </w:r>
          </w:p>
        </w:tc>
      </w:tr>
      <w:tr w14:paraId="5A9ED9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0290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48FF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E9D17">
            <w:pPr>
              <w:jc w:val="center"/>
            </w:pPr>
            <w:r>
              <w:rPr>
                <w:rFonts w:ascii="宋体" w:hAnsi="宋体" w:eastAsia="宋体"/>
                <w:sz w:val="16"/>
              </w:rPr>
              <w:t>“三网一员”工作经费（万元）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96FA3">
            <w:pPr>
              <w:jc w:val="center"/>
            </w:pPr>
            <w:r>
              <w:rPr>
                <w:rFonts w:ascii="宋体" w:hAnsi="宋体" w:eastAsia="宋体"/>
                <w:sz w:val="16"/>
              </w:rPr>
              <w:t>&lt;=3.12万元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60522">
            <w:pPr>
              <w:jc w:val="center"/>
            </w:pPr>
            <w:r>
              <w:rPr>
                <w:rFonts w:ascii="宋体" w:hAnsi="宋体" w:eastAsia="宋体"/>
                <w:sz w:val="16"/>
              </w:rPr>
              <w:t>单位防震减灾宣传工作需求测算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51F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C601D">
            <w:pPr>
              <w:jc w:val="center"/>
            </w:pPr>
            <w:r>
              <w:rPr>
                <w:rFonts w:ascii="宋体" w:hAnsi="宋体" w:eastAsia="宋体"/>
                <w:sz w:val="16"/>
              </w:rPr>
              <w:t>3.12万元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E564D">
            <w:pPr>
              <w:jc w:val="center"/>
            </w:pPr>
            <w:r>
              <w:rPr>
                <w:rFonts w:ascii="宋体" w:hAnsi="宋体" w:eastAsia="宋体"/>
                <w:sz w:val="16"/>
              </w:rPr>
              <w:t>10</w:t>
            </w:r>
          </w:p>
        </w:tc>
      </w:tr>
      <w:tr w14:paraId="5A88C6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6046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5582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400A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7DDB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04489">
            <w:pPr>
              <w:jc w:val="center"/>
            </w:pPr>
            <w:r>
              <w:rPr>
                <w:rFonts w:ascii="宋体" w:hAnsi="宋体" w:eastAsia="宋体"/>
                <w:sz w:val="16"/>
              </w:rPr>
              <w:t>根据编制数和人员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717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91CE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8A686">
            <w:pPr>
              <w:jc w:val="center"/>
            </w:pPr>
            <w:r>
              <w:rPr>
                <w:rFonts w:ascii="宋体" w:hAnsi="宋体" w:eastAsia="宋体"/>
                <w:sz w:val="16"/>
              </w:rPr>
              <w:t>10</w:t>
            </w:r>
          </w:p>
        </w:tc>
      </w:tr>
      <w:tr w14:paraId="35EB715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2750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274D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64C99">
            <w:pPr>
              <w:jc w:val="center"/>
            </w:pPr>
            <w:r>
              <w:rPr>
                <w:rFonts w:ascii="宋体" w:hAnsi="宋体" w:eastAsia="宋体"/>
                <w:sz w:val="16"/>
              </w:rPr>
              <w:t>防震减灾知识宣传覆盖率（%）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01DAA">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3A34D">
            <w:pPr>
              <w:jc w:val="center"/>
            </w:pPr>
            <w:r>
              <w:rPr>
                <w:rFonts w:ascii="宋体" w:hAnsi="宋体" w:eastAsia="宋体"/>
                <w:sz w:val="16"/>
              </w:rPr>
              <w:t>资金性质及法律法规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8B1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B16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2E624">
            <w:pPr>
              <w:jc w:val="center"/>
            </w:pPr>
            <w:r>
              <w:rPr>
                <w:rFonts w:ascii="宋体" w:hAnsi="宋体" w:eastAsia="宋体"/>
                <w:sz w:val="16"/>
              </w:rPr>
              <w:t>10</w:t>
            </w:r>
          </w:p>
        </w:tc>
      </w:tr>
      <w:tr w14:paraId="2E41DA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8269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E5A2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077BA">
            <w:pPr>
              <w:jc w:val="center"/>
            </w:pPr>
            <w:r>
              <w:rPr>
                <w:rFonts w:ascii="宋体" w:hAnsi="宋体" w:eastAsia="宋体"/>
                <w:sz w:val="16"/>
              </w:rPr>
              <w:t>印刷地震宣传材料次数(次)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425BF">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C6D5">
            <w:pPr>
              <w:jc w:val="center"/>
            </w:pPr>
            <w:r>
              <w:rPr>
                <w:rFonts w:ascii="宋体" w:hAnsi="宋体" w:eastAsia="宋体"/>
                <w:sz w:val="16"/>
              </w:rPr>
              <w:t>实际业务需要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3DD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F9DAA">
            <w:pPr>
              <w:jc w:val="center"/>
            </w:pPr>
            <w:r>
              <w:rPr>
                <w:rFonts w:ascii="宋体" w:hAnsi="宋体" w:eastAsia="宋体"/>
                <w:sz w:val="16"/>
              </w:rPr>
              <w:t>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00843">
            <w:pPr>
              <w:jc w:val="center"/>
            </w:pPr>
            <w:r>
              <w:rPr>
                <w:rFonts w:ascii="宋体" w:hAnsi="宋体" w:eastAsia="宋体"/>
                <w:sz w:val="16"/>
              </w:rPr>
              <w:t>0</w:t>
            </w:r>
          </w:p>
        </w:tc>
      </w:tr>
      <w:tr w14:paraId="78596A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EA96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1567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314AA">
            <w:pPr>
              <w:jc w:val="center"/>
            </w:pPr>
            <w:r>
              <w:rPr>
                <w:rFonts w:ascii="宋体" w:hAnsi="宋体" w:eastAsia="宋体"/>
                <w:sz w:val="16"/>
              </w:rPr>
              <w:t>提升单位业务保障能力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3D66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99B6F">
            <w:pPr>
              <w:jc w:val="center"/>
            </w:pPr>
            <w:r>
              <w:rPr>
                <w:rFonts w:ascii="宋体" w:hAnsi="宋体" w:eastAsia="宋体"/>
                <w:sz w:val="16"/>
              </w:rPr>
              <w:t>赋予部门职能要求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0549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0BDB6">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DADB3">
            <w:pPr>
              <w:jc w:val="center"/>
            </w:pPr>
            <w:r>
              <w:rPr>
                <w:rFonts w:ascii="宋体" w:hAnsi="宋体" w:eastAsia="宋体"/>
                <w:sz w:val="16"/>
              </w:rPr>
              <w:t>10</w:t>
            </w:r>
          </w:p>
        </w:tc>
      </w:tr>
      <w:tr w14:paraId="22BC69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116CB">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90D2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FF9E6">
            <w:pPr>
              <w:jc w:val="center"/>
            </w:pPr>
            <w:r>
              <w:rPr>
                <w:rFonts w:ascii="宋体" w:hAnsi="宋体" w:eastAsia="宋体"/>
                <w:sz w:val="16"/>
              </w:rPr>
              <w:t>受益群众满意度（%）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C01E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4D327">
            <w:pPr>
              <w:jc w:val="center"/>
            </w:pPr>
            <w:r>
              <w:rPr>
                <w:rFonts w:ascii="宋体" w:hAnsi="宋体" w:eastAsia="宋体"/>
                <w:sz w:val="16"/>
              </w:rPr>
              <w:t>根据单位履职情况测评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C896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4CE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933CE">
            <w:pPr>
              <w:jc w:val="center"/>
            </w:pPr>
            <w:r>
              <w:rPr>
                <w:rFonts w:ascii="宋体" w:hAnsi="宋体" w:eastAsia="宋体"/>
                <w:sz w:val="16"/>
              </w:rPr>
              <w:t>5</w:t>
            </w:r>
          </w:p>
        </w:tc>
      </w:tr>
      <w:tr w14:paraId="5E48F0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F47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0028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F3F6D">
            <w:pPr>
              <w:jc w:val="center"/>
            </w:pPr>
            <w:r>
              <w:rPr>
                <w:rFonts w:ascii="宋体" w:hAnsi="宋体" w:eastAsia="宋体"/>
                <w:sz w:val="16"/>
              </w:rPr>
              <w:t>受益干部满意度（%）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40A6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BBEC4">
            <w:pPr>
              <w:jc w:val="center"/>
            </w:pPr>
            <w:r>
              <w:rPr>
                <w:rFonts w:ascii="宋体" w:hAnsi="宋体" w:eastAsia="宋体"/>
                <w:sz w:val="16"/>
              </w:rPr>
              <w:t>根据在职人员工作职能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1646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6DC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2E4B3">
            <w:pPr>
              <w:jc w:val="center"/>
            </w:pPr>
            <w:r>
              <w:rPr>
                <w:rFonts w:ascii="宋体" w:hAnsi="宋体" w:eastAsia="宋体"/>
                <w:sz w:val="16"/>
              </w:rPr>
              <w:t>5</w:t>
            </w:r>
          </w:p>
        </w:tc>
      </w:tr>
    </w:tbl>
    <w:p w14:paraId="67B9D2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8CCD88B">
        <w:tblPrEx>
          <w:tblCellMar>
            <w:top w:w="0" w:type="dxa"/>
            <w:left w:w="108" w:type="dxa"/>
            <w:bottom w:w="0" w:type="dxa"/>
            <w:right w:w="108" w:type="dxa"/>
          </w:tblCellMar>
        </w:tblPrEx>
        <w:tc>
          <w:tcPr>
            <w:tcW w:w="8848" w:type="dxa"/>
            <w:gridSpan w:val="14"/>
            <w:vAlign w:val="center"/>
          </w:tcPr>
          <w:p w14:paraId="7C0A1683">
            <w:pPr>
              <w:jc w:val="center"/>
            </w:pPr>
            <w:r>
              <w:rPr>
                <w:rFonts w:ascii="宋体" w:hAnsi="宋体" w:eastAsia="宋体"/>
                <w:sz w:val="24"/>
              </w:rPr>
              <w:t>项目支出绩效自评表</w:t>
            </w:r>
          </w:p>
        </w:tc>
      </w:tr>
      <w:tr w14:paraId="0116F0D5">
        <w:tblPrEx>
          <w:tblCellMar>
            <w:top w:w="0" w:type="dxa"/>
            <w:left w:w="108" w:type="dxa"/>
            <w:bottom w:w="0" w:type="dxa"/>
            <w:right w:w="108" w:type="dxa"/>
          </w:tblCellMar>
        </w:tblPrEx>
        <w:tc>
          <w:tcPr>
            <w:tcW w:w="8848" w:type="dxa"/>
            <w:gridSpan w:val="14"/>
            <w:vAlign w:val="center"/>
          </w:tcPr>
          <w:p w14:paraId="038DAFD5">
            <w:pPr>
              <w:jc w:val="center"/>
            </w:pPr>
            <w:r>
              <w:rPr>
                <w:rFonts w:ascii="宋体" w:hAnsi="宋体" w:eastAsia="宋体"/>
                <w:sz w:val="24"/>
              </w:rPr>
              <w:t>(2024年度)</w:t>
            </w:r>
          </w:p>
        </w:tc>
      </w:tr>
      <w:tr w14:paraId="654DB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7F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5745F4">
            <w:pPr>
              <w:jc w:val="center"/>
            </w:pPr>
            <w:r>
              <w:rPr>
                <w:rFonts w:ascii="宋体" w:hAnsi="宋体" w:eastAsia="宋体"/>
                <w:sz w:val="16"/>
              </w:rPr>
              <w:t>2024年防震减灾“三网一员”工作经费补贴项目</w:t>
            </w:r>
          </w:p>
        </w:tc>
      </w:tr>
      <w:tr w14:paraId="3BA66E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C1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30326">
            <w:pPr>
              <w:jc w:val="center"/>
            </w:pPr>
            <w:r>
              <w:rPr>
                <w:rFonts w:ascii="宋体" w:hAnsi="宋体" w:eastAsia="宋体"/>
                <w:sz w:val="16"/>
              </w:rPr>
              <w:t>阿克陶县应急管理局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11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2FD9A">
            <w:pPr>
              <w:jc w:val="center"/>
            </w:pPr>
            <w:r>
              <w:rPr>
                <w:rFonts w:ascii="宋体" w:hAnsi="宋体" w:eastAsia="宋体"/>
                <w:sz w:val="16"/>
              </w:rPr>
              <w:t>阿克陶县地震服务中心</w:t>
            </w:r>
          </w:p>
        </w:tc>
      </w:tr>
      <w:tr w14:paraId="0B824F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06E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44B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01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71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C6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6B9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3E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0892">
            <w:pPr>
              <w:jc w:val="center"/>
            </w:pPr>
            <w:r>
              <w:rPr>
                <w:rFonts w:ascii="宋体" w:hAnsi="宋体" w:eastAsia="宋体"/>
                <w:sz w:val="16"/>
              </w:rPr>
              <w:t>得分</w:t>
            </w:r>
          </w:p>
        </w:tc>
      </w:tr>
      <w:tr w14:paraId="5F52F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A3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F2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233C2">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BD8A">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9123">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C9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91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6390">
            <w:pPr>
              <w:jc w:val="center"/>
            </w:pPr>
            <w:r>
              <w:rPr>
                <w:rFonts w:ascii="宋体" w:hAnsi="宋体" w:eastAsia="宋体"/>
                <w:sz w:val="16"/>
              </w:rPr>
              <w:t>10.00分</w:t>
            </w:r>
          </w:p>
        </w:tc>
      </w:tr>
      <w:tr w14:paraId="42D7F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750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89A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5CAE">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E112">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643D">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B0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E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3339">
            <w:pPr>
              <w:jc w:val="center"/>
            </w:pPr>
            <w:r>
              <w:rPr>
                <w:rFonts w:ascii="宋体" w:hAnsi="宋体" w:eastAsia="宋体"/>
                <w:sz w:val="16"/>
              </w:rPr>
              <w:t>—</w:t>
            </w:r>
          </w:p>
        </w:tc>
      </w:tr>
      <w:tr w14:paraId="1353F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7B9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8C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80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41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DBA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836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E2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F6B2">
            <w:pPr>
              <w:jc w:val="center"/>
            </w:pPr>
            <w:r>
              <w:rPr>
                <w:rFonts w:ascii="宋体" w:hAnsi="宋体" w:eastAsia="宋体"/>
                <w:sz w:val="16"/>
              </w:rPr>
              <w:t>—</w:t>
            </w:r>
          </w:p>
        </w:tc>
      </w:tr>
      <w:tr w14:paraId="26A155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572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086E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3BBF6">
            <w:pPr>
              <w:jc w:val="center"/>
            </w:pPr>
            <w:r>
              <w:rPr>
                <w:rFonts w:ascii="宋体" w:hAnsi="宋体" w:eastAsia="宋体"/>
                <w:sz w:val="16"/>
              </w:rPr>
              <w:t>实际完成情况</w:t>
            </w:r>
          </w:p>
        </w:tc>
      </w:tr>
      <w:tr w14:paraId="50F66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8DA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3A19A">
            <w:pPr>
              <w:jc w:val="both"/>
            </w:pPr>
            <w:r>
              <w:rPr>
                <w:rFonts w:ascii="宋体" w:hAnsi="宋体" w:eastAsia="宋体"/>
                <w:sz w:val="16"/>
              </w:rPr>
              <w:t>保障县域内“三网一员”宏观观测点正常运行，按每个观测点200元/月工作经费标准和补助比例拨付经费，不断加强对地震应急科普知识的宣传，不断提升人民群众应急避险和自救互救能力。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236F2E">
            <w:pPr>
              <w:jc w:val="both"/>
            </w:pPr>
            <w:r>
              <w:rPr>
                <w:rFonts w:hint="eastAsia" w:ascii="宋体" w:hAnsi="宋体"/>
                <w:sz w:val="16"/>
                <w:lang w:eastAsia="zh-CN"/>
              </w:rPr>
              <w:t>1.</w:t>
            </w:r>
            <w:r>
              <w:rPr>
                <w:rFonts w:ascii="宋体" w:hAnsi="宋体" w:eastAsia="宋体"/>
                <w:sz w:val="16"/>
              </w:rPr>
              <w:t>已按时向县域内13名“三网一员”发放了补助费3.12万元。                                                                                                                              2、对县域内13名“三网一员”开展现场培训1次，每月按时整理上报动物宏观观测表，一年内总计上报动物宏观观测表156份。                                                                                                               3、今年共计上报县域内有感地震14次。</w:t>
            </w:r>
          </w:p>
        </w:tc>
      </w:tr>
      <w:tr w14:paraId="2ECA7C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B46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B6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3C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A0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0F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26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98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E8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F4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5A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2E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D3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E6385">
            <w:pPr>
              <w:jc w:val="center"/>
            </w:pPr>
            <w:r>
              <w:rPr>
                <w:rFonts w:ascii="宋体" w:hAnsi="宋体" w:eastAsia="宋体"/>
                <w:sz w:val="16"/>
              </w:rPr>
              <w:t>偏差原因分析及改进措施</w:t>
            </w:r>
          </w:p>
        </w:tc>
      </w:tr>
      <w:tr w14:paraId="053504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470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14A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7CC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DB04">
            <w:pPr>
              <w:jc w:val="center"/>
            </w:pPr>
            <w:r>
              <w:rPr>
                <w:rFonts w:ascii="宋体" w:hAnsi="宋体" w:eastAsia="宋体"/>
                <w:sz w:val="16"/>
              </w:rPr>
              <w:t>县域内地震灾情宏观观测点(个)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3368">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1D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F8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8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E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9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157E">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5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DF1DC">
            <w:pPr>
              <w:jc w:val="center"/>
            </w:pPr>
          </w:p>
        </w:tc>
      </w:tr>
      <w:tr w14:paraId="1211E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4B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74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80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D8FD">
            <w:pPr>
              <w:jc w:val="center"/>
            </w:pPr>
            <w:r>
              <w:rPr>
                <w:rFonts w:ascii="宋体" w:hAnsi="宋体" w:eastAsia="宋体"/>
                <w:sz w:val="16"/>
              </w:rPr>
              <w:t>发放补助次数（次）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963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CB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39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F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C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6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12A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9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ACC32">
            <w:pPr>
              <w:jc w:val="center"/>
            </w:pPr>
          </w:p>
        </w:tc>
      </w:tr>
      <w:tr w14:paraId="152AE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2D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57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C8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E5CE">
            <w:pPr>
              <w:jc w:val="center"/>
            </w:pPr>
            <w:r>
              <w:rPr>
                <w:rFonts w:ascii="宋体" w:hAnsi="宋体" w:eastAsia="宋体"/>
                <w:sz w:val="16"/>
              </w:rPr>
              <w:t>补助发放观测点数（个）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4A26">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AC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4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E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D0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4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0B6C">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39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C64C9">
            <w:pPr>
              <w:jc w:val="center"/>
            </w:pPr>
          </w:p>
        </w:tc>
      </w:tr>
      <w:tr w14:paraId="08F73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A6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38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4E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0A61">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A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0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C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91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4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54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B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99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9DC19">
            <w:pPr>
              <w:jc w:val="center"/>
            </w:pPr>
          </w:p>
        </w:tc>
      </w:tr>
      <w:tr w14:paraId="69DE3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59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4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42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565B">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97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B2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E5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97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D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3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28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0C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26F2">
            <w:pPr>
              <w:jc w:val="center"/>
            </w:pPr>
          </w:p>
        </w:tc>
      </w:tr>
      <w:tr w14:paraId="50604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46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8F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1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93ED">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D90E">
            <w:pPr>
              <w:jc w:val="center"/>
            </w:pPr>
            <w:r>
              <w:rPr>
                <w:rFonts w:ascii="宋体" w:hAnsi="宋体" w:eastAsia="宋体"/>
                <w:sz w:val="16"/>
              </w:rPr>
              <w:t>&lt;=3.12万元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A6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3C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7D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2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ED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7D65">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0E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C0C6">
            <w:pPr>
              <w:jc w:val="center"/>
            </w:pPr>
          </w:p>
        </w:tc>
      </w:tr>
      <w:tr w14:paraId="6B2C3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11A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048B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071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9650">
            <w:pPr>
              <w:jc w:val="center"/>
            </w:pPr>
            <w:r>
              <w:rPr>
                <w:rFonts w:ascii="宋体" w:hAnsi="宋体" w:eastAsia="宋体"/>
                <w:sz w:val="16"/>
              </w:rPr>
              <w:t>提高乡村群众应急避险和自救互救能力的作用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4E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F3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D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4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3F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5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00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9E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F2C05">
            <w:pPr>
              <w:jc w:val="center"/>
            </w:pPr>
          </w:p>
        </w:tc>
      </w:tr>
      <w:tr w14:paraId="30409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B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E2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CA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D278">
            <w:pPr>
              <w:jc w:val="center"/>
            </w:pPr>
            <w:r>
              <w:rPr>
                <w:rFonts w:ascii="宋体" w:hAnsi="宋体" w:eastAsia="宋体"/>
                <w:sz w:val="16"/>
              </w:rPr>
              <w:t>提高对地震应急科普宣传软实力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79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81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95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8F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73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FB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D1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3C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3384">
            <w:pPr>
              <w:jc w:val="center"/>
            </w:pPr>
          </w:p>
        </w:tc>
      </w:tr>
      <w:tr w14:paraId="7B92D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45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E3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DD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4E24">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08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CD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ED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D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75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5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4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B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FBEB">
            <w:pPr>
              <w:jc w:val="center"/>
            </w:pPr>
          </w:p>
        </w:tc>
      </w:tr>
      <w:tr w14:paraId="684A96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D3F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36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B95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35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70D4F9"/>
        </w:tc>
      </w:tr>
    </w:tbl>
    <w:p w14:paraId="5A710792">
      <w:r>
        <w:br w:type="page"/>
      </w:r>
    </w:p>
    <w:p w14:paraId="22AB1EFA">
      <w:pPr>
        <w:spacing w:line="640" w:lineRule="exact"/>
        <w:ind w:firstLine="640"/>
        <w:jc w:val="both"/>
        <w:outlineLvl w:val="2"/>
      </w:pPr>
      <w:r>
        <w:rPr>
          <w:rFonts w:ascii="黑体" w:hAnsi="黑体" w:eastAsia="黑体"/>
          <w:sz w:val="32"/>
        </w:rPr>
        <w:t>十二、其他需说明的事项</w:t>
      </w:r>
    </w:p>
    <w:p w14:paraId="7296E05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0FEBDF4">
      <w:r>
        <w:br w:type="page"/>
      </w:r>
    </w:p>
    <w:p w14:paraId="25BE2D88">
      <w:pPr>
        <w:spacing w:line="240" w:lineRule="auto"/>
        <w:jc w:val="center"/>
        <w:outlineLvl w:val="1"/>
      </w:pPr>
      <w:r>
        <w:rPr>
          <w:rFonts w:ascii="黑体" w:hAnsi="黑体" w:eastAsia="黑体"/>
          <w:sz w:val="32"/>
        </w:rPr>
        <w:t>第三部分 专业名词解释</w:t>
      </w:r>
    </w:p>
    <w:p w14:paraId="32E904A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6F84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9C4F5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1B46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6A42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30D16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473F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E407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C851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A619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8176F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8065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6AB9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06A3B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A0AE43">
      <w:r>
        <w:br w:type="page"/>
      </w:r>
    </w:p>
    <w:p w14:paraId="33AE68B0">
      <w:pPr>
        <w:spacing w:line="240" w:lineRule="auto"/>
        <w:jc w:val="center"/>
        <w:outlineLvl w:val="1"/>
      </w:pPr>
      <w:r>
        <w:rPr>
          <w:rFonts w:ascii="黑体" w:hAnsi="黑体" w:eastAsia="黑体"/>
          <w:sz w:val="32"/>
        </w:rPr>
        <w:t>第四部分 部门决算报表（见附表）</w:t>
      </w:r>
    </w:p>
    <w:p w14:paraId="6062AC6B">
      <w:pPr>
        <w:spacing w:line="240" w:lineRule="auto"/>
        <w:ind w:firstLine="640"/>
        <w:jc w:val="both"/>
      </w:pPr>
      <w:r>
        <w:rPr>
          <w:rFonts w:ascii="仿宋_GB2312" w:hAnsi="仿宋_GB2312" w:eastAsia="仿宋_GB2312"/>
          <w:b w:val="0"/>
          <w:sz w:val="32"/>
        </w:rPr>
        <w:t>一、《收入支出决算总表》</w:t>
      </w:r>
    </w:p>
    <w:p w14:paraId="040F10A0">
      <w:pPr>
        <w:spacing w:line="240" w:lineRule="auto"/>
        <w:ind w:firstLine="640"/>
        <w:jc w:val="both"/>
      </w:pPr>
      <w:r>
        <w:rPr>
          <w:rFonts w:ascii="仿宋_GB2312" w:hAnsi="仿宋_GB2312" w:eastAsia="仿宋_GB2312"/>
          <w:b w:val="0"/>
          <w:sz w:val="32"/>
        </w:rPr>
        <w:t>二、《收入决算表》</w:t>
      </w:r>
    </w:p>
    <w:p w14:paraId="7E1E65C2">
      <w:pPr>
        <w:spacing w:line="240" w:lineRule="auto"/>
        <w:ind w:firstLine="640"/>
        <w:jc w:val="both"/>
      </w:pPr>
      <w:r>
        <w:rPr>
          <w:rFonts w:ascii="仿宋_GB2312" w:hAnsi="仿宋_GB2312" w:eastAsia="仿宋_GB2312"/>
          <w:b w:val="0"/>
          <w:sz w:val="32"/>
        </w:rPr>
        <w:t>三、《支出决算表》</w:t>
      </w:r>
    </w:p>
    <w:p w14:paraId="6D6099B9">
      <w:pPr>
        <w:spacing w:line="240" w:lineRule="auto"/>
        <w:ind w:firstLine="640"/>
        <w:jc w:val="both"/>
      </w:pPr>
      <w:r>
        <w:rPr>
          <w:rFonts w:ascii="仿宋_GB2312" w:hAnsi="仿宋_GB2312" w:eastAsia="仿宋_GB2312"/>
          <w:b w:val="0"/>
          <w:sz w:val="32"/>
        </w:rPr>
        <w:t>四、《财政拨款收入支出决算总表》</w:t>
      </w:r>
    </w:p>
    <w:p w14:paraId="3E378893">
      <w:pPr>
        <w:spacing w:line="240" w:lineRule="auto"/>
        <w:ind w:firstLine="640"/>
        <w:jc w:val="both"/>
      </w:pPr>
      <w:r>
        <w:rPr>
          <w:rFonts w:ascii="仿宋_GB2312" w:hAnsi="仿宋_GB2312" w:eastAsia="仿宋_GB2312"/>
          <w:b w:val="0"/>
          <w:sz w:val="32"/>
        </w:rPr>
        <w:t>五、《一般公共预算财政拨款支出决算表》</w:t>
      </w:r>
    </w:p>
    <w:p w14:paraId="5420C964">
      <w:pPr>
        <w:spacing w:line="240" w:lineRule="auto"/>
        <w:ind w:firstLine="640"/>
        <w:jc w:val="both"/>
      </w:pPr>
      <w:r>
        <w:rPr>
          <w:rFonts w:ascii="仿宋_GB2312" w:hAnsi="仿宋_GB2312" w:eastAsia="仿宋_GB2312"/>
          <w:b w:val="0"/>
          <w:sz w:val="32"/>
        </w:rPr>
        <w:t>六、《一般公共预算财政拨款基本支出决算表》</w:t>
      </w:r>
    </w:p>
    <w:p w14:paraId="5E9599DA">
      <w:pPr>
        <w:spacing w:line="240" w:lineRule="auto"/>
        <w:ind w:firstLine="640"/>
        <w:jc w:val="both"/>
      </w:pPr>
      <w:r>
        <w:rPr>
          <w:rFonts w:ascii="仿宋_GB2312" w:hAnsi="仿宋_GB2312" w:eastAsia="仿宋_GB2312"/>
          <w:b w:val="0"/>
          <w:sz w:val="32"/>
        </w:rPr>
        <w:t>七、《政府性基金预算财政拨款收入支出决算表》</w:t>
      </w:r>
    </w:p>
    <w:p w14:paraId="58B494C8">
      <w:pPr>
        <w:spacing w:line="240" w:lineRule="auto"/>
        <w:ind w:firstLine="640"/>
        <w:jc w:val="both"/>
      </w:pPr>
      <w:r>
        <w:rPr>
          <w:rFonts w:ascii="仿宋_GB2312" w:hAnsi="仿宋_GB2312" w:eastAsia="仿宋_GB2312"/>
          <w:b w:val="0"/>
          <w:sz w:val="32"/>
        </w:rPr>
        <w:t>八、《国有资本经营预算财政拨款收入支出决算表》</w:t>
      </w:r>
    </w:p>
    <w:p w14:paraId="194CB3AE">
      <w:pPr>
        <w:spacing w:line="240" w:lineRule="auto"/>
        <w:ind w:firstLine="640"/>
        <w:jc w:val="both"/>
      </w:pPr>
      <w:r>
        <w:rPr>
          <w:rFonts w:ascii="仿宋_GB2312" w:hAnsi="仿宋_GB2312" w:eastAsia="仿宋_GB2312"/>
          <w:b w:val="0"/>
          <w:sz w:val="32"/>
        </w:rPr>
        <w:t>九、《财政拨款“三公”经费支出决算表》</w:t>
      </w:r>
    </w:p>
    <w:p w14:paraId="33E49E58">
      <w:pPr>
        <w:spacing w:line="240" w:lineRule="auto"/>
        <w:ind w:firstLine="640"/>
        <w:jc w:val="both"/>
      </w:pPr>
    </w:p>
    <w:p w14:paraId="358B4BBB">
      <w:pPr>
        <w:spacing w:line="240" w:lineRule="auto"/>
        <w:ind w:firstLine="640"/>
        <w:jc w:val="both"/>
      </w:pPr>
    </w:p>
    <w:p w14:paraId="1AC74267">
      <w:pPr>
        <w:spacing w:line="240" w:lineRule="auto"/>
        <w:ind w:firstLine="640"/>
        <w:jc w:val="both"/>
      </w:pPr>
    </w:p>
    <w:p w14:paraId="263B2390">
      <w:pPr>
        <w:spacing w:line="240" w:lineRule="auto"/>
        <w:ind w:firstLine="640"/>
        <w:jc w:val="both"/>
      </w:pPr>
    </w:p>
    <w:p w14:paraId="32BBC9B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AA586A"/>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2A3F13"/>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5126</Words>
  <Characters>5738</Characters>
  <Lines>0</Lines>
  <Paragraphs>0</Paragraphs>
  <TotalTime>3</TotalTime>
  <ScaleCrop>false</ScaleCrop>
  <LinksUpToDate>false</LinksUpToDate>
  <CharactersWithSpaces>5747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