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5D93D90">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阿克陶县塔尔塔吉克民族乡人民政府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5B3E78D0">
      <w:r>
        <w:br w:type="page"/>
      </w:r>
    </w:p>
    <w:p w14:paraId="2631A0D4">
      <w:pPr>
        <w:spacing w:line="640" w:lineRule="exact"/>
        <w:jc w:val="center"/>
        <w:outlineLvl w:val="1"/>
      </w:pPr>
      <w:r>
        <w:rPr>
          <w:rFonts w:ascii="黑体" w:hAnsi="黑体" w:eastAsia="黑体"/>
          <w:sz w:val="32"/>
        </w:rPr>
        <w:t>第一部分 单位概况</w:t>
      </w:r>
    </w:p>
    <w:p w14:paraId="39103AC4">
      <w:pPr>
        <w:spacing w:line="640" w:lineRule="exact"/>
        <w:ind w:firstLine="640"/>
        <w:jc w:val="both"/>
        <w:outlineLvl w:val="2"/>
      </w:pPr>
      <w:r>
        <w:rPr>
          <w:rFonts w:ascii="黑体" w:hAnsi="黑体" w:eastAsia="黑体"/>
          <w:sz w:val="32"/>
        </w:rPr>
        <w:t>一、主要职能</w:t>
      </w:r>
    </w:p>
    <w:p w14:paraId="0C047074">
      <w:pPr>
        <w:spacing w:line="580" w:lineRule="exact"/>
        <w:ind w:firstLine="640"/>
        <w:jc w:val="both"/>
      </w:pPr>
      <w:r>
        <w:rPr>
          <w:rFonts w:hint="eastAsia" w:ascii="仿宋_GB2312" w:hAnsi="仿宋_GB2312" w:eastAsia="仿宋_GB2312"/>
          <w:sz w:val="32"/>
          <w:lang w:eastAsia="zh-CN"/>
        </w:rPr>
        <w:t>1.</w:t>
      </w:r>
      <w:r>
        <w:rPr>
          <w:rFonts w:ascii="仿宋_GB2312" w:hAnsi="仿宋_GB2312" w:eastAsia="仿宋_GB2312"/>
          <w:sz w:val="32"/>
        </w:rPr>
        <w:t>贯彻执行党的路线、方针、政策，讨论决定全乡经济建设和社会发展等重大问题，领导乡党政机关及事业单位和群众组织，加强乡党委自身建设和以村党支部为核心的村级组织建设。</w:t>
      </w:r>
    </w:p>
    <w:p w14:paraId="4FAB98F6">
      <w:pPr>
        <w:spacing w:line="580" w:lineRule="exact"/>
        <w:ind w:firstLine="640"/>
        <w:jc w:val="both"/>
      </w:pPr>
      <w:r>
        <w:rPr>
          <w:rFonts w:hint="eastAsia" w:ascii="仿宋_GB2312" w:hAnsi="仿宋_GB2312" w:eastAsia="仿宋_GB2312"/>
          <w:sz w:val="32"/>
          <w:lang w:eastAsia="zh-CN"/>
        </w:rPr>
        <w:t>2.</w:t>
      </w:r>
      <w:r>
        <w:rPr>
          <w:rFonts w:ascii="仿宋_GB2312" w:hAnsi="仿宋_GB2312" w:eastAsia="仿宋_GB2312"/>
          <w:sz w:val="32"/>
        </w:rPr>
        <w:t>加强全乡社会主义民主法治建设和精神文明建设。</w:t>
      </w:r>
    </w:p>
    <w:p w14:paraId="4F86DFD2">
      <w:pPr>
        <w:spacing w:line="580" w:lineRule="exact"/>
        <w:ind w:firstLine="640"/>
        <w:jc w:val="both"/>
      </w:pPr>
      <w:r>
        <w:rPr>
          <w:rFonts w:hint="eastAsia" w:ascii="仿宋_GB2312" w:hAnsi="仿宋_GB2312" w:eastAsia="仿宋_GB2312"/>
          <w:sz w:val="32"/>
          <w:lang w:eastAsia="zh-CN"/>
        </w:rPr>
        <w:t>3.</w:t>
      </w:r>
      <w:r>
        <w:rPr>
          <w:rFonts w:ascii="仿宋_GB2312" w:hAnsi="仿宋_GB2312" w:eastAsia="仿宋_GB2312"/>
          <w:sz w:val="32"/>
        </w:rPr>
        <w:t>加强民族团结，维护社会稳定。</w:t>
      </w:r>
    </w:p>
    <w:p w14:paraId="3F3BF106">
      <w:pPr>
        <w:spacing w:line="580" w:lineRule="exact"/>
        <w:ind w:firstLine="640"/>
        <w:jc w:val="both"/>
      </w:pPr>
      <w:r>
        <w:rPr>
          <w:rFonts w:hint="eastAsia" w:ascii="仿宋_GB2312" w:hAnsi="仿宋_GB2312" w:eastAsia="仿宋_GB2312"/>
          <w:sz w:val="32"/>
          <w:lang w:eastAsia="zh-CN"/>
        </w:rPr>
        <w:t>4.</w:t>
      </w:r>
      <w:r>
        <w:rPr>
          <w:rFonts w:ascii="仿宋_GB2312" w:hAnsi="仿宋_GB2312" w:eastAsia="仿宋_GB2312"/>
          <w:sz w:val="32"/>
        </w:rPr>
        <w:t>领导和管理全乡经济工作和城乡建设，编制和执行乡村经济和社会发展计划，做好与党的建设、乡村振兴、精准脱贫、新型城镇化建设等重点工作的有效衔接形成工作合力。</w:t>
      </w:r>
    </w:p>
    <w:p w14:paraId="158EFD9D">
      <w:pPr>
        <w:spacing w:line="580" w:lineRule="exact"/>
        <w:ind w:firstLine="640"/>
        <w:jc w:val="both"/>
      </w:pPr>
      <w:r>
        <w:rPr>
          <w:rFonts w:hint="eastAsia" w:ascii="仿宋_GB2312" w:hAnsi="仿宋_GB2312" w:eastAsia="仿宋_GB2312"/>
          <w:sz w:val="32"/>
          <w:lang w:eastAsia="zh-CN"/>
        </w:rPr>
        <w:t>5.</w:t>
      </w:r>
      <w:r>
        <w:rPr>
          <w:rFonts w:ascii="仿宋_GB2312" w:hAnsi="仿宋_GB2312" w:eastAsia="仿宋_GB2312"/>
          <w:sz w:val="32"/>
        </w:rPr>
        <w:t>领导和管理民政、社保、公安、司法、教育、扶贫、农技、农机、农经、林管、水管、畜牧兽医、草原、财政、统计、文化、广播电视、旅游、规划建设、生态环境以及民族</w:t>
      </w:r>
      <w:r>
        <w:rPr>
          <w:rFonts w:hint="eastAsia" w:ascii="仿宋_GB2312" w:hAnsi="仿宋_GB2312" w:eastAsia="仿宋_GB2312"/>
          <w:sz w:val="32"/>
          <w:lang w:eastAsia="zh-CN"/>
        </w:rPr>
        <w:t>ZJ</w:t>
      </w:r>
      <w:r>
        <w:rPr>
          <w:rFonts w:ascii="仿宋_GB2312" w:hAnsi="仿宋_GB2312" w:eastAsia="仿宋_GB2312"/>
          <w:sz w:val="32"/>
        </w:rPr>
        <w:t>事务等工作。</w:t>
      </w:r>
    </w:p>
    <w:p w14:paraId="43C8FC84">
      <w:pPr>
        <w:spacing w:line="640" w:lineRule="exact"/>
        <w:ind w:firstLine="640"/>
        <w:jc w:val="both"/>
        <w:outlineLvl w:val="2"/>
      </w:pPr>
      <w:r>
        <w:rPr>
          <w:rFonts w:ascii="黑体" w:hAnsi="黑体" w:eastAsia="黑体"/>
          <w:sz w:val="32"/>
        </w:rPr>
        <w:t>二、机构设置及人员情况</w:t>
      </w:r>
    </w:p>
    <w:p w14:paraId="569387DB">
      <w:pPr>
        <w:spacing w:line="580" w:lineRule="exact"/>
        <w:ind w:firstLine="640"/>
        <w:jc w:val="both"/>
      </w:pPr>
      <w:r>
        <w:rPr>
          <w:rFonts w:ascii="仿宋_GB2312" w:hAnsi="仿宋_GB2312" w:eastAsia="仿宋_GB2312"/>
          <w:sz w:val="32"/>
        </w:rPr>
        <w:t>阿克陶县塔尔塔吉克民族乡人民政府2024年度，实有人数143人，其中：在职人员116人，减少5人；离休人员0人，增加0人；退休人员27人</w:t>
      </w:r>
      <w:r>
        <w:rPr>
          <w:rFonts w:hint="eastAsia" w:ascii="仿宋_GB2312" w:hAnsi="仿宋_GB2312" w:eastAsia="仿宋_GB2312"/>
          <w:sz w:val="32"/>
          <w:lang w:eastAsia="zh-CN"/>
        </w:rPr>
        <w:t>，</w:t>
      </w:r>
      <w:r>
        <w:rPr>
          <w:rFonts w:ascii="仿宋_GB2312" w:hAnsi="仿宋_GB2312" w:eastAsia="仿宋_GB2312"/>
          <w:sz w:val="32"/>
        </w:rPr>
        <w:t>增加1人。</w:t>
      </w:r>
    </w:p>
    <w:p w14:paraId="099CFF50">
      <w:pPr>
        <w:spacing w:line="580" w:lineRule="exact"/>
        <w:ind w:firstLine="640"/>
        <w:jc w:val="both"/>
      </w:pPr>
      <w:r>
        <w:rPr>
          <w:rFonts w:ascii="仿宋_GB2312" w:hAnsi="仿宋_GB2312" w:eastAsia="仿宋_GB2312"/>
          <w:sz w:val="32"/>
        </w:rPr>
        <w:t>阿克陶县塔尔塔吉克民族乡人民政府无下属预算单位，下设12个科室，分别是：党政办公室、党建办公室、经济发展办公室、社会事务办公室、综合执法办公室、农村合作经济（统计）发展中心（财政所）、人口和</w:t>
      </w:r>
      <w:r>
        <w:rPr>
          <w:rFonts w:hint="eastAsia" w:ascii="仿宋_GB2312" w:hAnsi="仿宋_GB2312" w:eastAsia="仿宋_GB2312"/>
          <w:sz w:val="32"/>
          <w:lang w:eastAsia="zh-CN"/>
        </w:rPr>
        <w:t>JHSY</w:t>
      </w:r>
      <w:r>
        <w:rPr>
          <w:rFonts w:ascii="仿宋_GB2312" w:hAnsi="仿宋_GB2312" w:eastAsia="仿宋_GB2312"/>
          <w:sz w:val="32"/>
        </w:rPr>
        <w:t>生殖健康服务站、综治中心（网格化服务中心）、社会保障（民政）服务中心（退役军人服务站）、农业（畜牧业）发展中心、村镇规划建设发展中心（生态环境工作站）、文体广电旅游服务中心。</w:t>
      </w:r>
    </w:p>
    <w:p w14:paraId="28FE5867">
      <w:r>
        <w:br w:type="page"/>
      </w:r>
    </w:p>
    <w:p w14:paraId="0D96A1B7">
      <w:pPr>
        <w:spacing w:line="240" w:lineRule="auto"/>
        <w:jc w:val="center"/>
        <w:outlineLvl w:val="1"/>
      </w:pPr>
      <w:r>
        <w:rPr>
          <w:rFonts w:ascii="黑体" w:hAnsi="黑体" w:eastAsia="黑体"/>
          <w:sz w:val="32"/>
        </w:rPr>
        <w:t>第二部分 部门决算情况说明</w:t>
      </w:r>
    </w:p>
    <w:p w14:paraId="3EB75E92">
      <w:pPr>
        <w:spacing w:line="640" w:lineRule="exact"/>
        <w:ind w:firstLine="640"/>
        <w:jc w:val="both"/>
        <w:outlineLvl w:val="2"/>
      </w:pPr>
      <w:r>
        <w:rPr>
          <w:rFonts w:ascii="黑体" w:hAnsi="黑体" w:eastAsia="黑体"/>
          <w:sz w:val="32"/>
        </w:rPr>
        <w:t>一、收入支出决算总体情况说明</w:t>
      </w:r>
    </w:p>
    <w:p w14:paraId="2F79C8E6">
      <w:pPr>
        <w:spacing w:line="580" w:lineRule="exact"/>
        <w:ind w:firstLine="640"/>
        <w:jc w:val="both"/>
      </w:pPr>
      <w:r>
        <w:rPr>
          <w:rFonts w:ascii="仿宋_GB2312" w:hAnsi="仿宋_GB2312" w:eastAsia="仿宋_GB2312"/>
          <w:b/>
          <w:sz w:val="32"/>
        </w:rPr>
        <w:t>2024年度收入总计3,398.67万元，</w:t>
      </w:r>
      <w:r>
        <w:rPr>
          <w:rFonts w:ascii="仿宋_GB2312" w:hAnsi="仿宋_GB2312" w:eastAsia="仿宋_GB2312"/>
          <w:b w:val="0"/>
          <w:sz w:val="32"/>
        </w:rPr>
        <w:t>其中：本年收入合计3,318.58万元，使用非财政拨款结余（含专用结余）0.00万元，年初结转和结余80.09万元。</w:t>
      </w:r>
    </w:p>
    <w:p w14:paraId="5EE7504D">
      <w:pPr>
        <w:spacing w:line="580" w:lineRule="exact"/>
        <w:ind w:firstLine="640"/>
        <w:jc w:val="both"/>
      </w:pPr>
      <w:r>
        <w:rPr>
          <w:rFonts w:ascii="仿宋_GB2312" w:hAnsi="仿宋_GB2312" w:eastAsia="仿宋_GB2312"/>
          <w:b/>
          <w:sz w:val="32"/>
        </w:rPr>
        <w:t>2024年度支出总计3,398.67万元，</w:t>
      </w:r>
      <w:r>
        <w:rPr>
          <w:rFonts w:ascii="仿宋_GB2312" w:hAnsi="仿宋_GB2312" w:eastAsia="仿宋_GB2312"/>
          <w:b w:val="0"/>
          <w:sz w:val="32"/>
        </w:rPr>
        <w:t>其中：本年支出合计3,347.44万元，结余分配0.00万元，年末结转和结余51.24万元。</w:t>
      </w:r>
    </w:p>
    <w:p w14:paraId="2061B986">
      <w:pPr>
        <w:spacing w:line="580" w:lineRule="exact"/>
        <w:ind w:firstLine="640"/>
        <w:jc w:val="both"/>
      </w:pPr>
      <w:r>
        <w:rPr>
          <w:rFonts w:ascii="仿宋_GB2312" w:hAnsi="仿宋_GB2312" w:eastAsia="仿宋_GB2312"/>
          <w:b w:val="0"/>
          <w:sz w:val="32"/>
        </w:rPr>
        <w:t>收入支出总体与上年相比，减少725.37万元，下降17.59%，主要原因是：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塔尔乡阿克库木村棚圈建设项目</w:t>
      </w:r>
      <w:r>
        <w:rPr>
          <w:rFonts w:hint="eastAsia" w:ascii="仿宋_GB2312" w:hAnsi="仿宋_GB2312" w:eastAsia="仿宋_GB2312"/>
          <w:b w:val="0"/>
          <w:sz w:val="32"/>
          <w:lang w:eastAsia="zh-CN"/>
        </w:rPr>
        <w:t>，</w:t>
      </w:r>
      <w:r>
        <w:rPr>
          <w:rFonts w:ascii="仿宋_GB2312" w:hAnsi="仿宋_GB2312" w:eastAsia="仿宋_GB2312"/>
          <w:b w:val="0"/>
          <w:sz w:val="32"/>
        </w:rPr>
        <w:t>巴格村扶持发展新型农村集体经济建设项目、人居环境整治项目资金</w:t>
      </w:r>
      <w:r>
        <w:rPr>
          <w:rFonts w:hint="eastAsia" w:ascii="仿宋_GB2312" w:hAnsi="仿宋_GB2312" w:eastAsia="仿宋_GB2312"/>
          <w:b w:val="0"/>
          <w:sz w:val="32"/>
          <w:lang w:eastAsia="zh-CN"/>
        </w:rPr>
        <w:t>、</w:t>
      </w:r>
      <w:r>
        <w:rPr>
          <w:rFonts w:ascii="仿宋_GB2312" w:hAnsi="仿宋_GB2312" w:eastAsia="仿宋_GB2312"/>
          <w:b w:val="0"/>
          <w:sz w:val="32"/>
        </w:rPr>
        <w:t>阿克陶县塔尔乡农村道路建设项目</w:t>
      </w:r>
      <w:r>
        <w:rPr>
          <w:rFonts w:hint="eastAsia" w:ascii="仿宋_GB2312" w:hAnsi="仿宋_GB2312" w:eastAsia="仿宋_GB2312"/>
          <w:b w:val="0"/>
          <w:sz w:val="32"/>
          <w:lang w:val="en-US" w:eastAsia="zh-CN"/>
        </w:rPr>
        <w:t>资金、困难群众临时救助资金；本年死亡人员较上年减少，死亡抚恤金减少</w:t>
      </w:r>
      <w:r>
        <w:rPr>
          <w:rFonts w:ascii="仿宋_GB2312" w:hAnsi="仿宋_GB2312" w:eastAsia="仿宋_GB2312"/>
          <w:b w:val="0"/>
          <w:sz w:val="32"/>
        </w:rPr>
        <w:t>。</w:t>
      </w:r>
    </w:p>
    <w:p w14:paraId="28F55714">
      <w:pPr>
        <w:spacing w:line="640" w:lineRule="exact"/>
        <w:ind w:firstLine="640"/>
        <w:jc w:val="both"/>
        <w:outlineLvl w:val="2"/>
      </w:pPr>
      <w:r>
        <w:rPr>
          <w:rFonts w:ascii="黑体" w:hAnsi="黑体" w:eastAsia="黑体"/>
          <w:sz w:val="32"/>
        </w:rPr>
        <w:t>二、收入决算情况说明</w:t>
      </w:r>
    </w:p>
    <w:p w14:paraId="0F5DB1BB">
      <w:pPr>
        <w:spacing w:line="580" w:lineRule="exact"/>
        <w:ind w:firstLine="640"/>
        <w:jc w:val="both"/>
      </w:pPr>
      <w:r>
        <w:rPr>
          <w:rFonts w:ascii="仿宋_GB2312" w:hAnsi="仿宋_GB2312" w:eastAsia="仿宋_GB2312"/>
          <w:b/>
          <w:sz w:val="32"/>
        </w:rPr>
        <w:t>本年收入3,318.58万元，</w:t>
      </w:r>
      <w:r>
        <w:rPr>
          <w:rFonts w:ascii="仿宋_GB2312" w:hAnsi="仿宋_GB2312" w:eastAsia="仿宋_GB2312"/>
          <w:b w:val="0"/>
          <w:sz w:val="32"/>
        </w:rPr>
        <w:t>其中：财政拨款收入3,271.15万元，占98.57%；上级补助收入0.00万元，占0.00%；事业收入0.00万元，占0.00%；经营收入0.00万元，占0.00%；附属单位上缴收入0.00万元，占0.00%；其他收入47.44万元，占1.43%。</w:t>
      </w:r>
    </w:p>
    <w:p w14:paraId="1294760D">
      <w:pPr>
        <w:spacing w:line="640" w:lineRule="exact"/>
        <w:ind w:firstLine="640"/>
        <w:jc w:val="both"/>
        <w:outlineLvl w:val="2"/>
      </w:pPr>
      <w:r>
        <w:rPr>
          <w:rFonts w:ascii="黑体" w:hAnsi="黑体" w:eastAsia="黑体"/>
          <w:sz w:val="32"/>
        </w:rPr>
        <w:t>三、支出决算情况说明</w:t>
      </w:r>
    </w:p>
    <w:p w14:paraId="3B478831">
      <w:pPr>
        <w:spacing w:line="580" w:lineRule="exact"/>
        <w:ind w:firstLine="640"/>
        <w:jc w:val="both"/>
      </w:pPr>
      <w:r>
        <w:rPr>
          <w:rFonts w:ascii="仿宋_GB2312" w:hAnsi="仿宋_GB2312" w:eastAsia="仿宋_GB2312"/>
          <w:b/>
          <w:sz w:val="32"/>
        </w:rPr>
        <w:t>本年支出3,347.44万元，</w:t>
      </w:r>
      <w:r>
        <w:rPr>
          <w:rFonts w:ascii="仿宋_GB2312" w:hAnsi="仿宋_GB2312" w:eastAsia="仿宋_GB2312"/>
          <w:b w:val="0"/>
          <w:sz w:val="32"/>
        </w:rPr>
        <w:t>其中：基本支出2,716.21万元，占81.14%；项目支出631.22万元，占18.86%；上缴上级支出0.00万元，占0.00%；经营支出0.00万元，占0.00%；对附属单位补助支出0.00万元，占0.00%。</w:t>
      </w:r>
    </w:p>
    <w:p w14:paraId="727CEC45">
      <w:pPr>
        <w:spacing w:line="640" w:lineRule="exact"/>
        <w:ind w:firstLine="640"/>
        <w:jc w:val="both"/>
        <w:outlineLvl w:val="2"/>
      </w:pPr>
      <w:r>
        <w:rPr>
          <w:rFonts w:ascii="黑体" w:hAnsi="黑体" w:eastAsia="黑体"/>
          <w:sz w:val="32"/>
        </w:rPr>
        <w:t>四、财政拨款收入支出决算总体情况说明</w:t>
      </w:r>
    </w:p>
    <w:p w14:paraId="51582F5C">
      <w:pPr>
        <w:spacing w:line="580" w:lineRule="exact"/>
        <w:ind w:firstLine="640"/>
        <w:jc w:val="both"/>
      </w:pPr>
      <w:r>
        <w:rPr>
          <w:rFonts w:ascii="仿宋_GB2312" w:hAnsi="仿宋_GB2312" w:eastAsia="仿宋_GB2312"/>
          <w:b/>
          <w:sz w:val="32"/>
        </w:rPr>
        <w:t>2024年度财政拨款收入总计3,271.15万元，</w:t>
      </w:r>
      <w:r>
        <w:rPr>
          <w:rFonts w:ascii="仿宋_GB2312" w:hAnsi="仿宋_GB2312" w:eastAsia="仿宋_GB2312"/>
          <w:b w:val="0"/>
          <w:sz w:val="32"/>
        </w:rPr>
        <w:t>其中：年初财政拨款结转和结余0.00万元，本年财政拨款收入3,271.15万元。</w:t>
      </w:r>
      <w:r>
        <w:rPr>
          <w:rFonts w:ascii="仿宋_GB2312" w:hAnsi="仿宋_GB2312" w:eastAsia="仿宋_GB2312"/>
          <w:b/>
          <w:sz w:val="32"/>
        </w:rPr>
        <w:t>财政拨款支出总计3,271.15万元，</w:t>
      </w:r>
      <w:r>
        <w:rPr>
          <w:rFonts w:ascii="仿宋_GB2312" w:hAnsi="仿宋_GB2312" w:eastAsia="仿宋_GB2312"/>
          <w:b w:val="0"/>
          <w:sz w:val="32"/>
        </w:rPr>
        <w:t>其中：年末财政拨款结转和结余0.00万元，本年财政拨款支出3,271.15万元。</w:t>
      </w:r>
    </w:p>
    <w:p w14:paraId="774ECD31">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减少614.44万元，下降15.81%，主要原因是：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塔尔乡阿克库木村棚圈建设项目</w:t>
      </w:r>
      <w:r>
        <w:rPr>
          <w:rFonts w:hint="eastAsia" w:ascii="仿宋_GB2312" w:hAnsi="仿宋_GB2312" w:eastAsia="仿宋_GB2312"/>
          <w:b w:val="0"/>
          <w:sz w:val="32"/>
          <w:lang w:eastAsia="zh-CN"/>
        </w:rPr>
        <w:t>，</w:t>
      </w:r>
      <w:r>
        <w:rPr>
          <w:rFonts w:ascii="仿宋_GB2312" w:hAnsi="仿宋_GB2312" w:eastAsia="仿宋_GB2312"/>
          <w:b w:val="0"/>
          <w:sz w:val="32"/>
        </w:rPr>
        <w:t>巴格村扶持发展新型农村集体经济建设项目、人居环境整治项目资金</w:t>
      </w:r>
      <w:r>
        <w:rPr>
          <w:rFonts w:hint="eastAsia" w:ascii="仿宋_GB2312" w:hAnsi="仿宋_GB2312" w:eastAsia="仿宋_GB2312"/>
          <w:b w:val="0"/>
          <w:sz w:val="32"/>
          <w:lang w:eastAsia="zh-CN"/>
        </w:rPr>
        <w:t>、</w:t>
      </w:r>
      <w:r>
        <w:rPr>
          <w:rFonts w:ascii="仿宋_GB2312" w:hAnsi="仿宋_GB2312" w:eastAsia="仿宋_GB2312"/>
          <w:b w:val="0"/>
          <w:sz w:val="32"/>
        </w:rPr>
        <w:t>阿克陶县塔尔乡农村道路建设项目</w:t>
      </w:r>
      <w:r>
        <w:rPr>
          <w:rFonts w:hint="eastAsia" w:ascii="仿宋_GB2312" w:hAnsi="仿宋_GB2312" w:eastAsia="仿宋_GB2312"/>
          <w:b w:val="0"/>
          <w:sz w:val="32"/>
          <w:lang w:val="en-US" w:eastAsia="zh-CN"/>
        </w:rPr>
        <w:t>资金、困难群众临时救助资金；本年死亡人员较上年减少，死亡抚恤金减少</w:t>
      </w:r>
      <w:r>
        <w:rPr>
          <w:rFonts w:ascii="仿宋_GB2312" w:hAnsi="仿宋_GB2312" w:eastAsia="仿宋_GB2312"/>
          <w:b w:val="0"/>
          <w:sz w:val="32"/>
        </w:rPr>
        <w:t>。</w:t>
      </w:r>
      <w:r>
        <w:rPr>
          <w:rFonts w:ascii="仿宋_GB2312" w:hAnsi="仿宋_GB2312" w:eastAsia="仿宋_GB2312"/>
          <w:b/>
          <w:sz w:val="32"/>
        </w:rPr>
        <w:t>与年初预算相比，</w:t>
      </w:r>
      <w:r>
        <w:rPr>
          <w:rFonts w:ascii="仿宋_GB2312" w:hAnsi="仿宋_GB2312" w:eastAsia="仿宋_GB2312"/>
          <w:b w:val="0"/>
          <w:sz w:val="32"/>
        </w:rPr>
        <w:t>年初预算数2,655.55万元，决算数3,271.15万元，预决算差异率23.18%，主要原因是：年中追加人员工资、社保、公积金调增部分，追加幸福大院老人生活补助、人员补助、财政所工作经费项目等。</w:t>
      </w:r>
    </w:p>
    <w:p w14:paraId="438CC656">
      <w:pPr>
        <w:spacing w:line="640" w:lineRule="exact"/>
        <w:ind w:firstLine="640"/>
        <w:jc w:val="both"/>
        <w:outlineLvl w:val="2"/>
      </w:pPr>
      <w:r>
        <w:rPr>
          <w:rFonts w:ascii="黑体" w:hAnsi="黑体" w:eastAsia="黑体"/>
          <w:sz w:val="32"/>
        </w:rPr>
        <w:t>五、一般公共预算财政拨款支出决算情况说明</w:t>
      </w:r>
    </w:p>
    <w:p w14:paraId="17F2F496">
      <w:pPr>
        <w:spacing w:line="640" w:lineRule="exact"/>
        <w:ind w:firstLine="640"/>
        <w:jc w:val="both"/>
        <w:outlineLvl w:val="3"/>
      </w:pPr>
      <w:r>
        <w:rPr>
          <w:rFonts w:ascii="楷体_GB2312" w:hAnsi="楷体_GB2312" w:eastAsia="楷体_GB2312"/>
          <w:b/>
          <w:sz w:val="32"/>
        </w:rPr>
        <w:t>（一）一般公共预算财政拨款支出决算总体情况</w:t>
      </w:r>
    </w:p>
    <w:p w14:paraId="7FA13330">
      <w:pPr>
        <w:spacing w:line="580" w:lineRule="exact"/>
        <w:ind w:firstLine="640"/>
        <w:jc w:val="both"/>
      </w:pPr>
      <w:r>
        <w:rPr>
          <w:rFonts w:ascii="仿宋_GB2312" w:hAnsi="仿宋_GB2312" w:eastAsia="仿宋_GB2312"/>
          <w:b/>
          <w:sz w:val="32"/>
        </w:rPr>
        <w:t>2024年度一般公共预算财政拨款支出3,268.45万元，</w:t>
      </w:r>
      <w:r>
        <w:rPr>
          <w:rFonts w:ascii="仿宋_GB2312" w:hAnsi="仿宋_GB2312" w:eastAsia="仿宋_GB2312"/>
          <w:b w:val="0"/>
          <w:sz w:val="32"/>
        </w:rPr>
        <w:t>占本年支出合计的97.64%。</w:t>
      </w:r>
      <w:r>
        <w:rPr>
          <w:rFonts w:ascii="仿宋_GB2312" w:hAnsi="仿宋_GB2312" w:eastAsia="仿宋_GB2312"/>
          <w:b/>
          <w:sz w:val="32"/>
        </w:rPr>
        <w:t>与上年相比，</w:t>
      </w:r>
      <w:r>
        <w:rPr>
          <w:rFonts w:ascii="仿宋_GB2312" w:hAnsi="仿宋_GB2312" w:eastAsia="仿宋_GB2312"/>
          <w:b w:val="0"/>
          <w:sz w:val="32"/>
        </w:rPr>
        <w:t>减少617.14万元，下降15.88%，主要原因是：</w:t>
      </w:r>
      <w:r>
        <w:rPr>
          <w:rFonts w:hint="eastAsia" w:ascii="仿宋_GB2312" w:hAnsi="仿宋_GB2312" w:eastAsia="仿宋_GB2312"/>
          <w:b w:val="0"/>
          <w:sz w:val="32"/>
          <w:lang w:val="en-US" w:eastAsia="zh-CN"/>
        </w:rPr>
        <w:t>本年减少</w:t>
      </w:r>
      <w:r>
        <w:rPr>
          <w:rFonts w:ascii="仿宋_GB2312" w:hAnsi="仿宋_GB2312" w:eastAsia="仿宋_GB2312"/>
          <w:b w:val="0"/>
          <w:sz w:val="32"/>
        </w:rPr>
        <w:t>塔尔乡阿克库木村棚圈建设项目</w:t>
      </w:r>
      <w:r>
        <w:rPr>
          <w:rFonts w:hint="eastAsia" w:ascii="仿宋_GB2312" w:hAnsi="仿宋_GB2312" w:eastAsia="仿宋_GB2312"/>
          <w:b w:val="0"/>
          <w:sz w:val="32"/>
          <w:lang w:eastAsia="zh-CN"/>
        </w:rPr>
        <w:t>，</w:t>
      </w:r>
      <w:r>
        <w:rPr>
          <w:rFonts w:ascii="仿宋_GB2312" w:hAnsi="仿宋_GB2312" w:eastAsia="仿宋_GB2312"/>
          <w:b w:val="0"/>
          <w:sz w:val="32"/>
        </w:rPr>
        <w:t>巴格村扶持发展新型农村集体经济建设项目、人居环境整治项目资金</w:t>
      </w:r>
      <w:r>
        <w:rPr>
          <w:rFonts w:hint="eastAsia" w:ascii="仿宋_GB2312" w:hAnsi="仿宋_GB2312" w:eastAsia="仿宋_GB2312"/>
          <w:b w:val="0"/>
          <w:sz w:val="32"/>
          <w:lang w:eastAsia="zh-CN"/>
        </w:rPr>
        <w:t>、</w:t>
      </w:r>
      <w:r>
        <w:rPr>
          <w:rFonts w:ascii="仿宋_GB2312" w:hAnsi="仿宋_GB2312" w:eastAsia="仿宋_GB2312"/>
          <w:b w:val="0"/>
          <w:sz w:val="32"/>
        </w:rPr>
        <w:t>阿克陶县塔尔乡农村道路建设项目</w:t>
      </w:r>
      <w:r>
        <w:rPr>
          <w:rFonts w:hint="eastAsia" w:ascii="仿宋_GB2312" w:hAnsi="仿宋_GB2312" w:eastAsia="仿宋_GB2312"/>
          <w:b w:val="0"/>
          <w:sz w:val="32"/>
          <w:lang w:val="en-US" w:eastAsia="zh-CN"/>
        </w:rPr>
        <w:t>资金、困难群众临时救助资金；本年死亡人员较上年减少，死亡抚恤金减少</w:t>
      </w:r>
      <w:r>
        <w:rPr>
          <w:rFonts w:ascii="仿宋_GB2312" w:hAnsi="仿宋_GB2312" w:eastAsia="仿宋_GB2312"/>
          <w:b w:val="0"/>
          <w:sz w:val="32"/>
        </w:rPr>
        <w:t>。</w:t>
      </w:r>
      <w:r>
        <w:rPr>
          <w:rFonts w:ascii="仿宋_GB2312" w:hAnsi="仿宋_GB2312" w:eastAsia="仿宋_GB2312"/>
          <w:b/>
          <w:sz w:val="32"/>
        </w:rPr>
        <w:t>与年初预算相比</w:t>
      </w:r>
      <w:r>
        <w:rPr>
          <w:rFonts w:hint="eastAsia" w:ascii="仿宋_GB2312" w:hAnsi="仿宋_GB2312" w:eastAsia="仿宋_GB2312"/>
          <w:b/>
          <w:sz w:val="32"/>
          <w:lang w:eastAsia="zh-CN"/>
        </w:rPr>
        <w:t>，</w:t>
      </w:r>
      <w:r>
        <w:rPr>
          <w:rFonts w:ascii="仿宋_GB2312" w:hAnsi="仿宋_GB2312" w:eastAsia="仿宋_GB2312"/>
          <w:b w:val="0"/>
          <w:sz w:val="32"/>
        </w:rPr>
        <w:t>年初预算数2,655.55万元，决算数3,268.45万元，预决算差异率23.08%，主要原因是：年中追加人员工资、社保、公积金调增部分，追加幸福大院老人生活补助、人员补助、财政所工作经费项目等。</w:t>
      </w:r>
    </w:p>
    <w:p w14:paraId="35991852">
      <w:pPr>
        <w:spacing w:line="640" w:lineRule="exact"/>
        <w:ind w:firstLine="640"/>
        <w:jc w:val="both"/>
        <w:outlineLvl w:val="3"/>
      </w:pPr>
      <w:r>
        <w:rPr>
          <w:rFonts w:ascii="楷体_GB2312" w:hAnsi="楷体_GB2312" w:eastAsia="楷体_GB2312"/>
          <w:b/>
          <w:sz w:val="32"/>
        </w:rPr>
        <w:t>（二）一般公共预算财政拨款支出决算结构情况</w:t>
      </w:r>
    </w:p>
    <w:p w14:paraId="678D70E7">
      <w:pPr>
        <w:spacing w:line="580" w:lineRule="exact"/>
        <w:ind w:firstLine="640"/>
        <w:jc w:val="both"/>
      </w:pPr>
      <w:r>
        <w:rPr>
          <w:rFonts w:ascii="仿宋_GB2312" w:hAnsi="仿宋_GB2312" w:eastAsia="仿宋_GB2312"/>
          <w:b w:val="0"/>
          <w:sz w:val="32"/>
        </w:rPr>
        <w:t>1.一般公共服务支出(类)1,833.27万元</w:t>
      </w:r>
      <w:r>
        <w:rPr>
          <w:rFonts w:hint="eastAsia" w:ascii="仿宋_GB2312" w:hAnsi="仿宋_GB2312" w:eastAsia="仿宋_GB2312"/>
          <w:b w:val="0"/>
          <w:sz w:val="32"/>
          <w:lang w:eastAsia="zh-CN"/>
        </w:rPr>
        <w:t>，</w:t>
      </w:r>
      <w:r>
        <w:rPr>
          <w:rFonts w:ascii="仿宋_GB2312" w:hAnsi="仿宋_GB2312" w:eastAsia="仿宋_GB2312"/>
          <w:b w:val="0"/>
          <w:sz w:val="32"/>
        </w:rPr>
        <w:t>占56.09%。</w:t>
      </w:r>
    </w:p>
    <w:p w14:paraId="1E47E2A3">
      <w:pPr>
        <w:spacing w:line="580" w:lineRule="exact"/>
        <w:ind w:firstLine="640"/>
        <w:jc w:val="both"/>
      </w:pPr>
      <w:r>
        <w:rPr>
          <w:rFonts w:ascii="仿宋_GB2312" w:hAnsi="仿宋_GB2312" w:eastAsia="仿宋_GB2312"/>
          <w:b w:val="0"/>
          <w:sz w:val="32"/>
        </w:rPr>
        <w:t>2.文化旅游体育与传媒支出(类)69.90万元</w:t>
      </w:r>
      <w:r>
        <w:rPr>
          <w:rFonts w:hint="eastAsia" w:ascii="仿宋_GB2312" w:hAnsi="仿宋_GB2312" w:eastAsia="仿宋_GB2312"/>
          <w:b w:val="0"/>
          <w:sz w:val="32"/>
          <w:lang w:eastAsia="zh-CN"/>
        </w:rPr>
        <w:t>，</w:t>
      </w:r>
      <w:r>
        <w:rPr>
          <w:rFonts w:ascii="仿宋_GB2312" w:hAnsi="仿宋_GB2312" w:eastAsia="仿宋_GB2312"/>
          <w:b w:val="0"/>
          <w:sz w:val="32"/>
        </w:rPr>
        <w:t>占2.14%。</w:t>
      </w:r>
    </w:p>
    <w:p w14:paraId="68F6EB68">
      <w:pPr>
        <w:spacing w:line="580" w:lineRule="exact"/>
        <w:ind w:firstLine="640"/>
        <w:jc w:val="both"/>
      </w:pPr>
      <w:r>
        <w:rPr>
          <w:rFonts w:ascii="仿宋_GB2312" w:hAnsi="仿宋_GB2312" w:eastAsia="仿宋_GB2312"/>
          <w:b w:val="0"/>
          <w:sz w:val="32"/>
        </w:rPr>
        <w:t>3.社会保障和就业支出(类)359.39万元</w:t>
      </w:r>
      <w:r>
        <w:rPr>
          <w:rFonts w:hint="eastAsia" w:ascii="仿宋_GB2312" w:hAnsi="仿宋_GB2312" w:eastAsia="仿宋_GB2312"/>
          <w:b w:val="0"/>
          <w:sz w:val="32"/>
          <w:lang w:eastAsia="zh-CN"/>
        </w:rPr>
        <w:t>，</w:t>
      </w:r>
      <w:r>
        <w:rPr>
          <w:rFonts w:ascii="仿宋_GB2312" w:hAnsi="仿宋_GB2312" w:eastAsia="仿宋_GB2312"/>
          <w:b w:val="0"/>
          <w:sz w:val="32"/>
        </w:rPr>
        <w:t>占11.00%。</w:t>
      </w:r>
    </w:p>
    <w:p w14:paraId="7A9118FE">
      <w:pPr>
        <w:spacing w:line="580" w:lineRule="exact"/>
        <w:ind w:firstLine="640"/>
        <w:jc w:val="both"/>
      </w:pPr>
      <w:r>
        <w:rPr>
          <w:rFonts w:ascii="仿宋_GB2312" w:hAnsi="仿宋_GB2312" w:eastAsia="仿宋_GB2312"/>
          <w:b w:val="0"/>
          <w:sz w:val="32"/>
        </w:rPr>
        <w:t>4.卫生健康支出(类)171.29万元</w:t>
      </w:r>
      <w:r>
        <w:rPr>
          <w:rFonts w:hint="eastAsia" w:ascii="仿宋_GB2312" w:hAnsi="仿宋_GB2312" w:eastAsia="仿宋_GB2312"/>
          <w:b w:val="0"/>
          <w:sz w:val="32"/>
          <w:lang w:eastAsia="zh-CN"/>
        </w:rPr>
        <w:t>，</w:t>
      </w:r>
      <w:r>
        <w:rPr>
          <w:rFonts w:ascii="仿宋_GB2312" w:hAnsi="仿宋_GB2312" w:eastAsia="仿宋_GB2312"/>
          <w:b w:val="0"/>
          <w:sz w:val="32"/>
        </w:rPr>
        <w:t>占5.24%。</w:t>
      </w:r>
    </w:p>
    <w:p w14:paraId="1D460099">
      <w:pPr>
        <w:spacing w:line="580" w:lineRule="exact"/>
        <w:ind w:firstLine="640"/>
        <w:jc w:val="both"/>
      </w:pPr>
      <w:r>
        <w:rPr>
          <w:rFonts w:ascii="仿宋_GB2312" w:hAnsi="仿宋_GB2312" w:eastAsia="仿宋_GB2312"/>
          <w:b w:val="0"/>
          <w:sz w:val="32"/>
        </w:rPr>
        <w:t>5.城乡社区支出(类)0.90万元</w:t>
      </w:r>
      <w:r>
        <w:rPr>
          <w:rFonts w:hint="eastAsia" w:ascii="仿宋_GB2312" w:hAnsi="仿宋_GB2312" w:eastAsia="仿宋_GB2312"/>
          <w:b w:val="0"/>
          <w:sz w:val="32"/>
          <w:lang w:eastAsia="zh-CN"/>
        </w:rPr>
        <w:t>，</w:t>
      </w:r>
      <w:r>
        <w:rPr>
          <w:rFonts w:ascii="仿宋_GB2312" w:hAnsi="仿宋_GB2312" w:eastAsia="仿宋_GB2312"/>
          <w:b w:val="0"/>
          <w:sz w:val="32"/>
        </w:rPr>
        <w:t>占0.03%。</w:t>
      </w:r>
    </w:p>
    <w:p w14:paraId="58A361D9">
      <w:pPr>
        <w:spacing w:line="580" w:lineRule="exact"/>
        <w:ind w:firstLine="640"/>
        <w:jc w:val="both"/>
      </w:pPr>
      <w:r>
        <w:rPr>
          <w:rFonts w:ascii="仿宋_GB2312" w:hAnsi="仿宋_GB2312" w:eastAsia="仿宋_GB2312"/>
          <w:b w:val="0"/>
          <w:sz w:val="32"/>
        </w:rPr>
        <w:t>6.农林水支出(类)632.77万元</w:t>
      </w:r>
      <w:r>
        <w:rPr>
          <w:rFonts w:hint="eastAsia" w:ascii="仿宋_GB2312" w:hAnsi="仿宋_GB2312" w:eastAsia="仿宋_GB2312"/>
          <w:b w:val="0"/>
          <w:sz w:val="32"/>
          <w:lang w:eastAsia="zh-CN"/>
        </w:rPr>
        <w:t>，</w:t>
      </w:r>
      <w:r>
        <w:rPr>
          <w:rFonts w:ascii="仿宋_GB2312" w:hAnsi="仿宋_GB2312" w:eastAsia="仿宋_GB2312"/>
          <w:b w:val="0"/>
          <w:sz w:val="32"/>
        </w:rPr>
        <w:t>占19.36%。</w:t>
      </w:r>
    </w:p>
    <w:p w14:paraId="52ADE833">
      <w:pPr>
        <w:spacing w:line="580" w:lineRule="exact"/>
        <w:ind w:firstLine="640"/>
        <w:jc w:val="both"/>
      </w:pPr>
      <w:r>
        <w:rPr>
          <w:rFonts w:ascii="仿宋_GB2312" w:hAnsi="仿宋_GB2312" w:eastAsia="仿宋_GB2312"/>
          <w:b w:val="0"/>
          <w:sz w:val="32"/>
        </w:rPr>
        <w:t>7.住房保障支出(类)200.07万元</w:t>
      </w:r>
      <w:r>
        <w:rPr>
          <w:rFonts w:hint="eastAsia" w:ascii="仿宋_GB2312" w:hAnsi="仿宋_GB2312" w:eastAsia="仿宋_GB2312"/>
          <w:b w:val="0"/>
          <w:sz w:val="32"/>
          <w:lang w:eastAsia="zh-CN"/>
        </w:rPr>
        <w:t>，</w:t>
      </w:r>
      <w:r>
        <w:rPr>
          <w:rFonts w:ascii="仿宋_GB2312" w:hAnsi="仿宋_GB2312" w:eastAsia="仿宋_GB2312"/>
          <w:b w:val="0"/>
          <w:sz w:val="32"/>
        </w:rPr>
        <w:t>占6.12%。</w:t>
      </w:r>
    </w:p>
    <w:p w14:paraId="3D0D5CD8">
      <w:pPr>
        <w:spacing w:line="580" w:lineRule="exact"/>
        <w:ind w:firstLine="640"/>
        <w:jc w:val="both"/>
      </w:pPr>
      <w:r>
        <w:rPr>
          <w:rFonts w:ascii="仿宋_GB2312" w:hAnsi="仿宋_GB2312" w:eastAsia="仿宋_GB2312"/>
          <w:b w:val="0"/>
          <w:sz w:val="32"/>
        </w:rPr>
        <w:t>8.灾害防治及应急管理支出(类)0.86万元</w:t>
      </w:r>
      <w:r>
        <w:rPr>
          <w:rFonts w:hint="eastAsia" w:ascii="仿宋_GB2312" w:hAnsi="仿宋_GB2312" w:eastAsia="仿宋_GB2312"/>
          <w:b w:val="0"/>
          <w:sz w:val="32"/>
          <w:lang w:eastAsia="zh-CN"/>
        </w:rPr>
        <w:t>，</w:t>
      </w:r>
      <w:r>
        <w:rPr>
          <w:rFonts w:ascii="仿宋_GB2312" w:hAnsi="仿宋_GB2312" w:eastAsia="仿宋_GB2312"/>
          <w:b w:val="0"/>
          <w:sz w:val="32"/>
        </w:rPr>
        <w:t>占0.03%。</w:t>
      </w:r>
    </w:p>
    <w:p w14:paraId="22F4E551">
      <w:pPr>
        <w:spacing w:line="640" w:lineRule="exact"/>
        <w:ind w:firstLine="640"/>
        <w:jc w:val="both"/>
        <w:outlineLvl w:val="3"/>
      </w:pPr>
      <w:r>
        <w:rPr>
          <w:rFonts w:ascii="楷体_GB2312" w:hAnsi="楷体_GB2312" w:eastAsia="楷体_GB2312"/>
          <w:b/>
          <w:sz w:val="32"/>
        </w:rPr>
        <w:t>（三）一般公共预算财政拨款支出决算具体情况</w:t>
      </w:r>
    </w:p>
    <w:p w14:paraId="3D12CCFC">
      <w:pPr>
        <w:spacing w:line="580" w:lineRule="exact"/>
        <w:ind w:firstLine="640"/>
        <w:jc w:val="both"/>
      </w:pPr>
      <w:r>
        <w:rPr>
          <w:rFonts w:ascii="仿宋_GB2312" w:hAnsi="仿宋_GB2312" w:eastAsia="仿宋_GB2312"/>
          <w:b w:val="0"/>
          <w:sz w:val="32"/>
        </w:rPr>
        <w:t>1.一般公共服务支出(类)政府办公厅（室）及相关机构事务(款)行政运行(项)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支出决算数为1,088.27万元，比上年决算减少101.45万元，下降8.53%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r>
        <w:rPr>
          <w:rFonts w:hint="eastAsia" w:ascii="仿宋_GB2312" w:hAnsi="仿宋_GB2312" w:eastAsia="仿宋_GB2312"/>
          <w:b w:val="0"/>
          <w:sz w:val="32"/>
          <w:lang w:eastAsia="zh-CN"/>
        </w:rPr>
        <w:t>；</w:t>
      </w:r>
      <w:r>
        <w:rPr>
          <w:rFonts w:ascii="仿宋_GB2312" w:hAnsi="仿宋_GB2312" w:eastAsia="仿宋_GB2312"/>
          <w:b w:val="0"/>
          <w:sz w:val="32"/>
        </w:rPr>
        <w:t>厉行节约，严格控制</w:t>
      </w:r>
      <w:r>
        <w:rPr>
          <w:rFonts w:hint="eastAsia" w:ascii="仿宋_GB2312" w:hAnsi="仿宋_GB2312" w:eastAsia="仿宋_GB2312"/>
          <w:b w:val="0"/>
          <w:sz w:val="32"/>
          <w:lang w:val="en-US" w:eastAsia="zh-CN"/>
        </w:rPr>
        <w:t>经费</w:t>
      </w:r>
      <w:r>
        <w:rPr>
          <w:rFonts w:ascii="仿宋_GB2312" w:hAnsi="仿宋_GB2312" w:eastAsia="仿宋_GB2312"/>
          <w:b w:val="0"/>
          <w:sz w:val="32"/>
        </w:rPr>
        <w:t>，严格控制公务车运行维护费等支出。</w:t>
      </w:r>
    </w:p>
    <w:p w14:paraId="468D003E">
      <w:pPr>
        <w:spacing w:line="580" w:lineRule="exact"/>
        <w:ind w:firstLine="640"/>
        <w:jc w:val="both"/>
      </w:pPr>
      <w:r>
        <w:rPr>
          <w:rFonts w:ascii="仿宋_GB2312" w:hAnsi="仿宋_GB2312" w:eastAsia="仿宋_GB2312"/>
          <w:b w:val="0"/>
          <w:sz w:val="32"/>
        </w:rPr>
        <w:t>2.一般公共服务支出(类)政府办公厅（室）及相关机构事务(款)事业运行(项)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支出决算数为122.22万元，比上年决算增加18.40万元，增长17.72%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主要原因是：本年事业人员工资调增，导致相关人员经费较上年有所增加。</w:t>
      </w:r>
    </w:p>
    <w:p w14:paraId="7355A9C1">
      <w:pPr>
        <w:spacing w:line="580" w:lineRule="exact"/>
        <w:ind w:firstLine="640"/>
        <w:jc w:val="both"/>
      </w:pPr>
      <w:r>
        <w:rPr>
          <w:rFonts w:ascii="仿宋_GB2312" w:hAnsi="仿宋_GB2312" w:eastAsia="仿宋_GB2312"/>
          <w:b w:val="0"/>
          <w:sz w:val="32"/>
        </w:rPr>
        <w:t>3.一般公共服务支出(类)财政事务(款)行政运行(项)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支出决算数为17.68万元，比上年决算减少1.26万元，下降6.65%</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3D0C7216">
      <w:pPr>
        <w:spacing w:line="580" w:lineRule="exact"/>
        <w:ind w:firstLine="640"/>
        <w:jc w:val="both"/>
      </w:pPr>
      <w:r>
        <w:rPr>
          <w:rFonts w:ascii="仿宋_GB2312" w:hAnsi="仿宋_GB2312" w:eastAsia="仿宋_GB2312"/>
          <w:b w:val="0"/>
          <w:sz w:val="32"/>
        </w:rPr>
        <w:t>4.一般公共服务支出(类)纪检监察事务(款)行政运行(项)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支出决算数为0.00万元，比上年决算减少5.98万元，下降100.00%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主要原因是：本年功能科目调整，中央政法纪检监察转移支付资金办案业务费项目上年度在此科目列支，本年在其他纪检监察事务支出科目列支，导致经费较上年减少。</w:t>
      </w:r>
    </w:p>
    <w:p w14:paraId="6F4A8A48">
      <w:pPr>
        <w:spacing w:line="580" w:lineRule="exact"/>
        <w:ind w:firstLine="640"/>
        <w:jc w:val="both"/>
      </w:pPr>
      <w:r>
        <w:rPr>
          <w:rFonts w:ascii="仿宋_GB2312" w:hAnsi="仿宋_GB2312" w:eastAsia="仿宋_GB2312"/>
          <w:b w:val="0"/>
          <w:sz w:val="32"/>
        </w:rPr>
        <w:t>5.一般公共服务支出(类)纪检监察事务(款)其他纪检监察事务支出(项)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支出决算数为2.00万元，比上年决算增加0.50万元，增长33.33%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主要原因是：本年功能科目调整，中央政法纪检监察转移支付资金办案业务费项目上年度在纪检监察事务(款)行政运行(项)科目列支，本年在其他纪检监察事务支出科目列支，导致经费较上年</w:t>
      </w:r>
      <w:r>
        <w:rPr>
          <w:rFonts w:hint="eastAsia" w:ascii="仿宋_GB2312" w:hAnsi="仿宋_GB2312" w:eastAsia="仿宋_GB2312"/>
          <w:b w:val="0"/>
          <w:sz w:val="32"/>
          <w:lang w:val="en-US" w:eastAsia="zh-CN"/>
        </w:rPr>
        <w:t>增加</w:t>
      </w:r>
      <w:r>
        <w:rPr>
          <w:rFonts w:ascii="仿宋_GB2312" w:hAnsi="仿宋_GB2312" w:eastAsia="仿宋_GB2312"/>
          <w:b w:val="0"/>
          <w:sz w:val="32"/>
        </w:rPr>
        <w:t>。</w:t>
      </w:r>
    </w:p>
    <w:p w14:paraId="776A8D0D">
      <w:pPr>
        <w:spacing w:line="580" w:lineRule="exact"/>
        <w:ind w:firstLine="640"/>
        <w:jc w:val="both"/>
      </w:pPr>
      <w:r>
        <w:rPr>
          <w:rFonts w:ascii="仿宋_GB2312" w:hAnsi="仿宋_GB2312" w:eastAsia="仿宋_GB2312"/>
          <w:b w:val="0"/>
          <w:sz w:val="32"/>
        </w:rPr>
        <w:t>6.一般公共服务支出(类)群众团体事务(款)行政运行(项)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支出决算数为0.00万元，比上年决算减少0.24万元，下降100.00%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主要原因是：本年减少“三八”妇女节活动经费项目。</w:t>
      </w:r>
    </w:p>
    <w:p w14:paraId="30BE5FCE">
      <w:pPr>
        <w:spacing w:line="580" w:lineRule="exact"/>
        <w:ind w:firstLine="640"/>
        <w:jc w:val="both"/>
      </w:pPr>
      <w:r>
        <w:rPr>
          <w:rFonts w:ascii="仿宋_GB2312" w:hAnsi="仿宋_GB2312" w:eastAsia="仿宋_GB2312"/>
          <w:b w:val="0"/>
          <w:sz w:val="32"/>
        </w:rPr>
        <w:t>7.一般公共服务支出(类)党委办公厅（室）及相关机构事务(款)行政运行(项)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支出决算数为467.69万元，比上年决算减少6.64万元，下降1.40%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主要原因是：本年在职人员减少，相应人员经费较上年减少。</w:t>
      </w:r>
    </w:p>
    <w:p w14:paraId="773E0BCF">
      <w:pPr>
        <w:spacing w:line="580" w:lineRule="exact"/>
        <w:ind w:firstLine="640"/>
        <w:jc w:val="both"/>
      </w:pPr>
      <w:r>
        <w:rPr>
          <w:rFonts w:ascii="仿宋_GB2312" w:hAnsi="仿宋_GB2312" w:eastAsia="仿宋_GB2312"/>
          <w:b w:val="0"/>
          <w:sz w:val="32"/>
        </w:rPr>
        <w:t>8.一般公共服务支出(类)党委办公厅（室）及相关机构事务(款)事业运行(项)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支出决算数为64.31万元，比上年决算减少1.91万元，下降2.88%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017FD221">
      <w:pPr>
        <w:spacing w:line="580" w:lineRule="exact"/>
        <w:ind w:firstLine="640"/>
        <w:jc w:val="both"/>
      </w:pPr>
      <w:r>
        <w:rPr>
          <w:rFonts w:ascii="仿宋_GB2312" w:hAnsi="仿宋_GB2312" w:eastAsia="仿宋_GB2312"/>
          <w:b w:val="0"/>
          <w:sz w:val="32"/>
        </w:rPr>
        <w:t>9.一般公共服务支出(类)组织事务(款)其他组织事务支出(项)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支出决算数为71.09万元，比上年决算增加13.51万元，增长23.46%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主要原因是：本年村级组织运转经费支出增加。</w:t>
      </w:r>
    </w:p>
    <w:p w14:paraId="645C432B">
      <w:pPr>
        <w:spacing w:line="580" w:lineRule="exact"/>
        <w:ind w:firstLine="640"/>
        <w:jc w:val="both"/>
      </w:pPr>
      <w:r>
        <w:rPr>
          <w:rFonts w:ascii="仿宋_GB2312" w:hAnsi="仿宋_GB2312" w:eastAsia="仿宋_GB2312"/>
          <w:b w:val="0"/>
          <w:sz w:val="32"/>
        </w:rPr>
        <w:t>10.文化旅游体育与传媒支出(类)文化和旅游(款)群众文化(项)</w:t>
      </w:r>
      <w:r>
        <w:rPr>
          <w:rFonts w:hint="eastAsia" w:ascii="仿宋_GB2312" w:hAnsi="仿宋_GB2312" w:eastAsia="仿宋_GB2312"/>
          <w:b w:val="0"/>
          <w:sz w:val="32"/>
          <w:lang w:eastAsia="zh-CN"/>
        </w:rPr>
        <w:t>：</w:t>
      </w:r>
      <w:r>
        <w:rPr>
          <w:rFonts w:ascii="仿宋_GB2312" w:hAnsi="仿宋_GB2312" w:eastAsia="仿宋_GB2312"/>
          <w:b w:val="0"/>
          <w:sz w:val="32"/>
        </w:rPr>
        <w:t>支出决算数为55.78万元，比上年决算减少3.89万元，下降6.52%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15D6EF6F">
      <w:pPr>
        <w:spacing w:line="580" w:lineRule="exact"/>
        <w:ind w:firstLine="640"/>
        <w:jc w:val="both"/>
      </w:pPr>
      <w:r>
        <w:rPr>
          <w:rFonts w:ascii="仿宋_GB2312" w:hAnsi="仿宋_GB2312" w:eastAsia="仿宋_GB2312"/>
          <w:b w:val="0"/>
          <w:sz w:val="32"/>
        </w:rPr>
        <w:t>11.文化旅游体育与传媒支出(类)文化和旅游(款)其他文化和旅游支出(项)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支出决算数为11.52万元，比上年决算减少0.79万元，下降6.42%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减少</w:t>
      </w:r>
      <w:r>
        <w:rPr>
          <w:rFonts w:hint="eastAsia" w:ascii="仿宋_GB2312" w:hAnsi="仿宋_GB2312" w:eastAsia="仿宋_GB2312"/>
          <w:b w:val="0"/>
          <w:sz w:val="32"/>
        </w:rPr>
        <w:t>乡村旅游基础设施建设及青年旅社改造项目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28EDA797">
      <w:pPr>
        <w:spacing w:line="580" w:lineRule="exact"/>
        <w:ind w:firstLine="640"/>
        <w:jc w:val="both"/>
      </w:pPr>
      <w:r>
        <w:rPr>
          <w:rFonts w:ascii="仿宋_GB2312" w:hAnsi="仿宋_GB2312" w:eastAsia="仿宋_GB2312"/>
          <w:b w:val="0"/>
          <w:sz w:val="32"/>
        </w:rPr>
        <w:t>12.文化旅游体育与传媒支出(类)其他文化旅游体育与传媒支出(款)其他文化旅游体育与传媒支出(项)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支出决算数为2.60万元，比上年决算增加2.20万元，增长550.00%</w:t>
      </w:r>
      <w:r>
        <w:rPr>
          <w:rFonts w:hint="eastAsia" w:ascii="仿宋_GB2312" w:hAnsi="仿宋_GB2312" w:eastAsia="仿宋_GB2312"/>
          <w:b w:val="0"/>
          <w:sz w:val="32"/>
          <w:lang w:eastAsia="zh-CN"/>
        </w:rPr>
        <w:t>，</w:t>
      </w:r>
      <w:r>
        <w:rPr>
          <w:rFonts w:ascii="仿宋_GB2312" w:hAnsi="仿宋_GB2312" w:eastAsia="仿宋_GB2312"/>
          <w:b w:val="0"/>
          <w:sz w:val="32"/>
        </w:rPr>
        <w:t>主要原因是：2024年中央补助三馆一站免费开放经费支出增加。</w:t>
      </w:r>
    </w:p>
    <w:p w14:paraId="4315EE30">
      <w:pPr>
        <w:spacing w:line="580" w:lineRule="exact"/>
        <w:ind w:firstLine="640"/>
        <w:jc w:val="both"/>
      </w:pPr>
      <w:r>
        <w:rPr>
          <w:rFonts w:ascii="仿宋_GB2312" w:hAnsi="仿宋_GB2312" w:eastAsia="仿宋_GB2312"/>
          <w:b w:val="0"/>
          <w:sz w:val="32"/>
        </w:rPr>
        <w:t>13.社会保障和就业支出(类)人力资源和社会保障管理事务(款)社会保险经办机构(项)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支出决算数为46.84万元，比上年决算减少2.83万元，下降5.70%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4B654478">
      <w:pPr>
        <w:spacing w:line="580" w:lineRule="exact"/>
        <w:ind w:firstLine="640"/>
        <w:jc w:val="both"/>
      </w:pPr>
      <w:r>
        <w:rPr>
          <w:rFonts w:ascii="仿宋_GB2312" w:hAnsi="仿宋_GB2312" w:eastAsia="仿宋_GB2312"/>
          <w:b w:val="0"/>
          <w:sz w:val="32"/>
        </w:rPr>
        <w:t>14.社会保障和就业支出(类)民政管理事务(款)其他民政管理事务支出(项)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支出决算数为4.40万元，比上年决算增加1.40万元，增长46.67%</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主要原因是：本年民政管理事务宣传经费增加。</w:t>
      </w:r>
    </w:p>
    <w:p w14:paraId="0EA0737A">
      <w:pPr>
        <w:spacing w:line="580" w:lineRule="exact"/>
        <w:ind w:firstLine="640"/>
        <w:jc w:val="both"/>
      </w:pPr>
      <w:r>
        <w:rPr>
          <w:rFonts w:ascii="仿宋_GB2312" w:hAnsi="仿宋_GB2312" w:eastAsia="仿宋_GB2312"/>
          <w:b w:val="0"/>
          <w:sz w:val="32"/>
        </w:rPr>
        <w:t>15.社会保障和就业支出(类)行政事业单位养老支出(款)行政单位离退休(项)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支出决算数为19.69万元，比上年决算增加3.16万元，增长19.12%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w:t>
      </w:r>
      <w:r>
        <w:rPr>
          <w:rFonts w:hint="eastAsia" w:ascii="仿宋_GB2312" w:hAnsi="仿宋_GB2312" w:eastAsia="仿宋_GB2312"/>
          <w:b w:val="0"/>
          <w:sz w:val="32"/>
          <w:lang w:val="en-US" w:eastAsia="zh-CN"/>
        </w:rPr>
        <w:t>离退休经费增加</w:t>
      </w:r>
      <w:r>
        <w:rPr>
          <w:rFonts w:ascii="仿宋_GB2312" w:hAnsi="仿宋_GB2312" w:eastAsia="仿宋_GB2312"/>
          <w:b w:val="0"/>
          <w:sz w:val="32"/>
        </w:rPr>
        <w:t>。</w:t>
      </w:r>
    </w:p>
    <w:p w14:paraId="314F6360">
      <w:pPr>
        <w:spacing w:line="580" w:lineRule="exact"/>
        <w:ind w:firstLine="640"/>
        <w:jc w:val="both"/>
      </w:pPr>
      <w:r>
        <w:rPr>
          <w:rFonts w:ascii="仿宋_GB2312" w:hAnsi="仿宋_GB2312" w:eastAsia="仿宋_GB2312"/>
          <w:b w:val="0"/>
          <w:sz w:val="32"/>
        </w:rPr>
        <w:t>16.社会保障和就业支出(类)行政事业单位养老支出(款)事业单位离退休(项)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支出决算数为13.15万元，比上年决算增加2.21万元，增长20.20%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主要原因是：本年退休人员绩效增加，</w:t>
      </w:r>
      <w:r>
        <w:rPr>
          <w:rFonts w:hint="eastAsia" w:ascii="仿宋_GB2312" w:hAnsi="仿宋_GB2312" w:eastAsia="仿宋_GB2312"/>
          <w:b w:val="0"/>
          <w:sz w:val="32"/>
          <w:lang w:val="en-US" w:eastAsia="zh-CN"/>
        </w:rPr>
        <w:t>离退休</w:t>
      </w:r>
      <w:r>
        <w:rPr>
          <w:rFonts w:ascii="仿宋_GB2312" w:hAnsi="仿宋_GB2312" w:eastAsia="仿宋_GB2312"/>
          <w:b w:val="0"/>
          <w:sz w:val="32"/>
        </w:rPr>
        <w:t>经费增加。</w:t>
      </w:r>
    </w:p>
    <w:p w14:paraId="30C07D32">
      <w:pPr>
        <w:spacing w:line="580" w:lineRule="exact"/>
        <w:ind w:firstLine="640"/>
        <w:jc w:val="both"/>
      </w:pPr>
      <w:r>
        <w:rPr>
          <w:rFonts w:ascii="仿宋_GB2312" w:hAnsi="仿宋_GB2312" w:eastAsia="仿宋_GB2312"/>
          <w:b w:val="0"/>
          <w:sz w:val="32"/>
        </w:rPr>
        <w:t>17.社会保障和就业支出(类)行政事业单位养老支出(款)机关事业单位基本养老保险缴费支出(项)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支出决算数为252.68万元，比上年决算增加31.34万元，增长14.16%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主要原因是：本年人员工资基数调增，养老缴费基数上涨，相应支出增加。</w:t>
      </w:r>
    </w:p>
    <w:p w14:paraId="42AD1742">
      <w:pPr>
        <w:spacing w:line="580" w:lineRule="exact"/>
        <w:ind w:firstLine="640"/>
        <w:jc w:val="both"/>
      </w:pPr>
      <w:r>
        <w:rPr>
          <w:rFonts w:ascii="仿宋_GB2312" w:hAnsi="仿宋_GB2312" w:eastAsia="仿宋_GB2312"/>
          <w:b w:val="0"/>
          <w:sz w:val="32"/>
        </w:rPr>
        <w:t>18.社会保障和就业支出(类)行政事业单位养老支出(款)机关事业单位职业年金缴费支出(项)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支出决算数为8.38万元，比上年决算增加1.61万元，增长23.78%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主要原因是：本年新增退休人员，机关事业单位职业年金缴费支出增加。</w:t>
      </w:r>
    </w:p>
    <w:p w14:paraId="0867D2E1">
      <w:pPr>
        <w:spacing w:line="580" w:lineRule="exact"/>
        <w:ind w:firstLine="640"/>
        <w:jc w:val="both"/>
      </w:pPr>
      <w:r>
        <w:rPr>
          <w:rFonts w:ascii="仿宋_GB2312" w:hAnsi="仿宋_GB2312" w:eastAsia="仿宋_GB2312"/>
          <w:b w:val="0"/>
          <w:sz w:val="32"/>
        </w:rPr>
        <w:t>19.社会保障和就业支出(类)抚恤(款)死亡抚恤(项)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支出决算数为12.66万元，比上年决算减少92.80万元，下降88.00%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主要原因是：本年新增死亡人员较上年减少，死亡抚恤支出较上年减少。</w:t>
      </w:r>
    </w:p>
    <w:p w14:paraId="3CF4B1DD">
      <w:pPr>
        <w:spacing w:line="580" w:lineRule="exact"/>
        <w:ind w:firstLine="640"/>
        <w:jc w:val="both"/>
      </w:pPr>
      <w:r>
        <w:rPr>
          <w:rFonts w:ascii="仿宋_GB2312" w:hAnsi="仿宋_GB2312" w:eastAsia="仿宋_GB2312"/>
          <w:b w:val="0"/>
          <w:sz w:val="32"/>
        </w:rPr>
        <w:t>20.社会保障和就业支出(类)社会福利(款)养老服务(项)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支出决算数为1.59万元，比上年决算增加0.11万元，增长7.43%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主要原因是：本年度幸福大院水电费支出增加，支出增加。</w:t>
      </w:r>
    </w:p>
    <w:p w14:paraId="212228FE">
      <w:pPr>
        <w:spacing w:line="580" w:lineRule="exact"/>
        <w:ind w:firstLine="640"/>
        <w:jc w:val="both"/>
      </w:pPr>
      <w:r>
        <w:rPr>
          <w:rFonts w:ascii="仿宋_GB2312" w:hAnsi="仿宋_GB2312" w:eastAsia="仿宋_GB2312"/>
          <w:b w:val="0"/>
          <w:sz w:val="32"/>
        </w:rPr>
        <w:t>21.社会保障和就业支出(类)临时救助(款)临时救助支出(项)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支出决算数为0.00万元，比上年决算减少79.58万元，下降100.00%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主要原因是：本年减少困难群众临时救助项目资金。</w:t>
      </w:r>
    </w:p>
    <w:p w14:paraId="18AA6881">
      <w:pPr>
        <w:spacing w:line="580" w:lineRule="exact"/>
        <w:ind w:firstLine="640"/>
        <w:jc w:val="both"/>
      </w:pPr>
      <w:r>
        <w:rPr>
          <w:rFonts w:ascii="仿宋_GB2312" w:hAnsi="仿宋_GB2312" w:eastAsia="仿宋_GB2312"/>
          <w:b w:val="0"/>
          <w:sz w:val="32"/>
        </w:rPr>
        <w:t>22.卫生健康支出(类)</w:t>
      </w:r>
      <w:bookmarkStart w:id="0" w:name="_GoBack"/>
      <w:r>
        <w:rPr>
          <w:rFonts w:ascii="仿宋_GB2312" w:hAnsi="仿宋_GB2312" w:eastAsia="仿宋_GB2312"/>
          <w:b w:val="0"/>
          <w:sz w:val="32"/>
        </w:rPr>
        <w:t>计划生育</w:t>
      </w:r>
      <w:bookmarkEnd w:id="0"/>
      <w:r>
        <w:rPr>
          <w:rFonts w:ascii="仿宋_GB2312" w:hAnsi="仿宋_GB2312" w:eastAsia="仿宋_GB2312"/>
          <w:b w:val="0"/>
          <w:sz w:val="32"/>
        </w:rPr>
        <w:t>事务(款)计划生育机构(项)</w:t>
      </w:r>
      <w:r>
        <w:rPr>
          <w:rFonts w:hint="eastAsia" w:ascii="仿宋_GB2312" w:hAnsi="仿宋_GB2312" w:eastAsia="仿宋_GB2312"/>
          <w:b w:val="0"/>
          <w:sz w:val="32"/>
          <w:lang w:eastAsia="zh-CN"/>
        </w:rPr>
        <w:t>：</w:t>
      </w:r>
      <w:r>
        <w:rPr>
          <w:rFonts w:ascii="仿宋_GB2312" w:hAnsi="仿宋_GB2312" w:eastAsia="仿宋_GB2312"/>
          <w:b w:val="0"/>
          <w:sz w:val="32"/>
        </w:rPr>
        <w:t>支出决算数为62.35万元，比上年决算减少2.21万元，下降3.42%</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3F87847C">
      <w:pPr>
        <w:spacing w:line="580" w:lineRule="exact"/>
        <w:ind w:firstLine="640"/>
        <w:jc w:val="both"/>
      </w:pPr>
      <w:r>
        <w:rPr>
          <w:rFonts w:ascii="仿宋_GB2312" w:hAnsi="仿宋_GB2312" w:eastAsia="仿宋_GB2312"/>
          <w:b w:val="0"/>
          <w:sz w:val="32"/>
        </w:rPr>
        <w:t>23.卫生健康支出(类)行政事业单位医疗(款)行政单位医疗(项)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支出决算数为85.31万元，比上年决算增加8.36万元，增长10.86%</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07BF291F">
      <w:pPr>
        <w:spacing w:line="580" w:lineRule="exact"/>
        <w:ind w:firstLine="640"/>
        <w:jc w:val="both"/>
      </w:pPr>
      <w:r>
        <w:rPr>
          <w:rFonts w:ascii="仿宋_GB2312" w:hAnsi="仿宋_GB2312" w:eastAsia="仿宋_GB2312"/>
          <w:b w:val="0"/>
          <w:sz w:val="32"/>
        </w:rPr>
        <w:t>24.卫生健康支出(类)行政事业单位医疗(款)事业单位医疗(项)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支出决算数为23.63万元，比上年决算增加3.72万元，增长18.68%</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主要原因是：本年在职人员工资基数调增，医疗缴费基数上涨，相应支出增加。</w:t>
      </w:r>
    </w:p>
    <w:p w14:paraId="2F46AC4F">
      <w:pPr>
        <w:spacing w:line="580" w:lineRule="exact"/>
        <w:ind w:firstLine="640"/>
        <w:jc w:val="both"/>
      </w:pPr>
      <w:r>
        <w:rPr>
          <w:rFonts w:ascii="仿宋_GB2312" w:hAnsi="仿宋_GB2312" w:eastAsia="仿宋_GB2312"/>
          <w:b w:val="0"/>
          <w:sz w:val="32"/>
        </w:rPr>
        <w:t>25.城乡社区支出(类)城乡社区公共设施(款)小城镇基础设施建设(项)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支出决算数为0.90万元，比上年决算减少53.10万元，下降98.33%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主要原因是：本年减少小城镇基础设施建设项目。</w:t>
      </w:r>
    </w:p>
    <w:p w14:paraId="02ACC91E">
      <w:pPr>
        <w:spacing w:line="580" w:lineRule="exact"/>
        <w:ind w:firstLine="640"/>
        <w:jc w:val="both"/>
      </w:pPr>
      <w:r>
        <w:rPr>
          <w:rFonts w:ascii="仿宋_GB2312" w:hAnsi="仿宋_GB2312" w:eastAsia="仿宋_GB2312"/>
          <w:b w:val="0"/>
          <w:sz w:val="32"/>
        </w:rPr>
        <w:t>26.城乡社区支出(类)城乡社区公共设施(款)其他城乡社区公共设施支出(项)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支出决算数为0.00万元，比上年决算减少5.94万元，下降100.00%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主要原因是：本年度减少塔尔乡阿克库木村小广场和体育活动场建设项目。</w:t>
      </w:r>
    </w:p>
    <w:p w14:paraId="6488C1CB">
      <w:pPr>
        <w:spacing w:line="580" w:lineRule="exact"/>
        <w:ind w:firstLine="640"/>
        <w:jc w:val="both"/>
      </w:pPr>
      <w:r>
        <w:rPr>
          <w:rFonts w:ascii="仿宋_GB2312" w:hAnsi="仿宋_GB2312" w:eastAsia="仿宋_GB2312"/>
          <w:b w:val="0"/>
          <w:sz w:val="32"/>
        </w:rPr>
        <w:t>27.农林水支出(类)农业农村(款)事业运行(项)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支出决算数为148.69万元，比上年决算减少6.24万元，下降4.03%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主要原因是：本年在职人员调入调出，人员职级不同，工资基数不同，导致人员经费较上年减少。</w:t>
      </w:r>
    </w:p>
    <w:p w14:paraId="7D5915E0">
      <w:pPr>
        <w:spacing w:line="580" w:lineRule="exact"/>
        <w:ind w:firstLine="640"/>
        <w:jc w:val="both"/>
      </w:pPr>
      <w:r>
        <w:rPr>
          <w:rFonts w:ascii="仿宋_GB2312" w:hAnsi="仿宋_GB2312" w:eastAsia="仿宋_GB2312"/>
          <w:b w:val="0"/>
          <w:sz w:val="32"/>
        </w:rPr>
        <w:t>28.农林水支出(类)巩固脱贫攻坚成果衔接乡村振兴(款)农村基础设施建设(项)</w:t>
      </w:r>
      <w:r>
        <w:rPr>
          <w:rFonts w:hint="eastAsia" w:ascii="仿宋_GB2312" w:hAnsi="仿宋_GB2312" w:eastAsia="仿宋_GB2312"/>
          <w:b w:val="0"/>
          <w:sz w:val="32"/>
          <w:lang w:eastAsia="zh-CN"/>
        </w:rPr>
        <w:t>：</w:t>
      </w:r>
      <w:r>
        <w:rPr>
          <w:rFonts w:ascii="仿宋_GB2312" w:hAnsi="仿宋_GB2312" w:eastAsia="仿宋_GB2312"/>
          <w:b w:val="0"/>
          <w:sz w:val="32"/>
        </w:rPr>
        <w:t>支出决算数为141.49万元，比上年决算减少246.50万元，下降63.53%</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主要原因是：本年度塔尔乡阿克库木村棚圈建设项目</w:t>
      </w:r>
      <w:r>
        <w:rPr>
          <w:rFonts w:hint="eastAsia" w:ascii="仿宋_GB2312" w:hAnsi="仿宋_GB2312" w:eastAsia="仿宋_GB2312"/>
          <w:b w:val="0"/>
          <w:sz w:val="32"/>
          <w:lang w:eastAsia="zh-CN"/>
        </w:rPr>
        <w:t>，</w:t>
      </w:r>
      <w:r>
        <w:rPr>
          <w:rFonts w:ascii="仿宋_GB2312" w:hAnsi="仿宋_GB2312" w:eastAsia="仿宋_GB2312"/>
          <w:b w:val="0"/>
          <w:sz w:val="32"/>
        </w:rPr>
        <w:t>巴格村2024年度扶持发展新型农村集体经济建设项目支出减少。</w:t>
      </w:r>
    </w:p>
    <w:p w14:paraId="216C6924">
      <w:pPr>
        <w:spacing w:line="580" w:lineRule="exact"/>
        <w:ind w:firstLine="640"/>
        <w:jc w:val="both"/>
      </w:pPr>
      <w:r>
        <w:rPr>
          <w:rFonts w:ascii="仿宋_GB2312" w:hAnsi="仿宋_GB2312" w:eastAsia="仿宋_GB2312"/>
          <w:b w:val="0"/>
          <w:sz w:val="32"/>
        </w:rPr>
        <w:t>29.农林水支出(类)巩固脱贫攻坚成果衔接乡村振兴(款)生产发展(项)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支出决算数为258.76万元，比上年决算减少129.24万元，下降33.31%</w:t>
      </w:r>
      <w:r>
        <w:rPr>
          <w:rFonts w:hint="eastAsia" w:ascii="仿宋_GB2312" w:hAnsi="仿宋_GB2312" w:eastAsia="仿宋_GB2312"/>
          <w:b w:val="0"/>
          <w:sz w:val="32"/>
          <w:lang w:eastAsia="zh-CN"/>
        </w:rPr>
        <w:t>，</w:t>
      </w:r>
      <w:r>
        <w:rPr>
          <w:rFonts w:ascii="仿宋_GB2312" w:hAnsi="仿宋_GB2312" w:eastAsia="仿宋_GB2312"/>
          <w:b w:val="0"/>
          <w:sz w:val="32"/>
        </w:rPr>
        <w:t>主要原因是：阿克陶县塔尔乡农村道路建设项目</w:t>
      </w:r>
      <w:r>
        <w:rPr>
          <w:rFonts w:hint="eastAsia" w:ascii="仿宋_GB2312" w:hAnsi="仿宋_GB2312" w:eastAsia="仿宋_GB2312"/>
          <w:b w:val="0"/>
          <w:sz w:val="32"/>
          <w:lang w:val="en-US" w:eastAsia="zh-CN"/>
        </w:rPr>
        <w:t>资金</w:t>
      </w:r>
      <w:r>
        <w:rPr>
          <w:rFonts w:ascii="仿宋_GB2312" w:hAnsi="仿宋_GB2312" w:eastAsia="仿宋_GB2312"/>
          <w:b w:val="0"/>
          <w:sz w:val="32"/>
        </w:rPr>
        <w:t>。</w:t>
      </w:r>
    </w:p>
    <w:p w14:paraId="1636DD20">
      <w:pPr>
        <w:spacing w:line="580" w:lineRule="exact"/>
        <w:ind w:firstLine="640"/>
        <w:jc w:val="both"/>
      </w:pPr>
      <w:r>
        <w:rPr>
          <w:rFonts w:ascii="仿宋_GB2312" w:hAnsi="仿宋_GB2312" w:eastAsia="仿宋_GB2312"/>
          <w:b w:val="0"/>
          <w:sz w:val="32"/>
        </w:rPr>
        <w:t>30.农林水支出(类)农村综合改革(款)对村级公益事业建设的补助(项)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支出决算数为0.00万元，比上年决算减少20.00万元，下降100.00%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主要原因是：本年减少巴格村新建路灯建设项目。</w:t>
      </w:r>
    </w:p>
    <w:p w14:paraId="7A6F3FEF">
      <w:pPr>
        <w:spacing w:line="580" w:lineRule="exact"/>
        <w:ind w:firstLine="640"/>
        <w:jc w:val="both"/>
      </w:pPr>
      <w:r>
        <w:rPr>
          <w:rFonts w:ascii="仿宋_GB2312" w:hAnsi="仿宋_GB2312" w:eastAsia="仿宋_GB2312"/>
          <w:b w:val="0"/>
          <w:sz w:val="32"/>
        </w:rPr>
        <w:t>31.农林水支出(类)目标价格补贴(款)棉花目标价格补贴(项)</w:t>
      </w:r>
      <w:r>
        <w:rPr>
          <w:rFonts w:hint="eastAsia" w:ascii="仿宋_GB2312" w:hAnsi="仿宋_GB2312" w:eastAsia="仿宋_GB2312"/>
          <w:b w:val="0"/>
          <w:sz w:val="32"/>
          <w:lang w:eastAsia="zh-CN"/>
        </w:rPr>
        <w:t>：</w:t>
      </w:r>
      <w:r>
        <w:rPr>
          <w:rFonts w:ascii="仿宋_GB2312" w:hAnsi="仿宋_GB2312" w:eastAsia="仿宋_GB2312"/>
          <w:b w:val="0"/>
          <w:sz w:val="32"/>
        </w:rPr>
        <w:t>支出决算数为83.84万元，比上年决算增加83.84万元，增长100.00%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主要原因是：本年度新增</w:t>
      </w:r>
      <w:r>
        <w:rPr>
          <w:rFonts w:hint="eastAsia" w:ascii="仿宋_GB2312" w:hAnsi="仿宋_GB2312" w:eastAsia="仿宋_GB2312"/>
          <w:b w:val="0"/>
          <w:sz w:val="32"/>
          <w:lang w:val="en-US" w:eastAsia="zh-CN"/>
        </w:rPr>
        <w:t>价格</w:t>
      </w:r>
      <w:r>
        <w:rPr>
          <w:rFonts w:ascii="仿宋_GB2312" w:hAnsi="仿宋_GB2312" w:eastAsia="仿宋_GB2312"/>
          <w:b w:val="0"/>
          <w:sz w:val="32"/>
        </w:rPr>
        <w:t>补贴资金。</w:t>
      </w:r>
    </w:p>
    <w:p w14:paraId="2A5FE4CF">
      <w:pPr>
        <w:spacing w:line="580" w:lineRule="exact"/>
        <w:ind w:firstLine="640"/>
        <w:jc w:val="both"/>
      </w:pPr>
      <w:r>
        <w:rPr>
          <w:rFonts w:ascii="仿宋_GB2312" w:hAnsi="仿宋_GB2312" w:eastAsia="仿宋_GB2312"/>
          <w:b w:val="0"/>
          <w:sz w:val="32"/>
        </w:rPr>
        <w:t>32.农林水支出(类)其他农林水支出(款)其他农林水支出(项)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支出决算数为0.00万元，比上年决算减少29.53万元，下降100.00%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主要原因是：本年度减少塔尔乡人居环境整治项目。</w:t>
      </w:r>
    </w:p>
    <w:p w14:paraId="43C00152">
      <w:pPr>
        <w:spacing w:line="580" w:lineRule="exact"/>
        <w:ind w:firstLine="640"/>
        <w:jc w:val="both"/>
      </w:pPr>
      <w:r>
        <w:rPr>
          <w:rFonts w:ascii="仿宋_GB2312" w:hAnsi="仿宋_GB2312" w:eastAsia="仿宋_GB2312"/>
          <w:b w:val="0"/>
          <w:sz w:val="32"/>
        </w:rPr>
        <w:t>33.自然资源海洋气象等支出(类)自然资源事务(款)事业运行(项)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支出决算数为0.00万元，比上年决算减少15.33万元，下降100.00%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w:t>
      </w:r>
      <w:r>
        <w:rPr>
          <w:rFonts w:hint="eastAsia" w:ascii="仿宋_GB2312" w:hAnsi="仿宋_GB2312" w:eastAsia="仿宋_GB2312"/>
          <w:b w:val="0"/>
          <w:sz w:val="32"/>
          <w:lang w:val="en-US" w:eastAsia="zh-CN"/>
        </w:rPr>
        <w:t>科目调整，</w:t>
      </w:r>
      <w:r>
        <w:rPr>
          <w:rFonts w:ascii="仿宋_GB2312" w:hAnsi="仿宋_GB2312" w:eastAsia="仿宋_GB2312"/>
          <w:b w:val="0"/>
          <w:sz w:val="32"/>
        </w:rPr>
        <w:t>国土所经费上年度</w:t>
      </w:r>
      <w:r>
        <w:rPr>
          <w:rFonts w:hint="eastAsia" w:ascii="仿宋_GB2312" w:hAnsi="仿宋_GB2312" w:eastAsia="仿宋_GB2312"/>
          <w:b w:val="0"/>
          <w:sz w:val="32"/>
          <w:lang w:val="en-US" w:eastAsia="zh-CN"/>
        </w:rPr>
        <w:t>单独</w:t>
      </w:r>
      <w:r>
        <w:rPr>
          <w:rFonts w:ascii="仿宋_GB2312" w:hAnsi="仿宋_GB2312" w:eastAsia="仿宋_GB2312"/>
          <w:b w:val="0"/>
          <w:sz w:val="32"/>
        </w:rPr>
        <w:t>列支，本年</w:t>
      </w:r>
      <w:r>
        <w:rPr>
          <w:rFonts w:hint="eastAsia" w:ascii="仿宋_GB2312" w:hAnsi="仿宋_GB2312" w:eastAsia="仿宋_GB2312"/>
          <w:b w:val="0"/>
          <w:sz w:val="32"/>
          <w:lang w:val="en-US" w:eastAsia="zh-CN"/>
        </w:rPr>
        <w:t>调整至主款项</w:t>
      </w:r>
      <w:r>
        <w:rPr>
          <w:rFonts w:ascii="仿宋_GB2312" w:hAnsi="仿宋_GB2312" w:eastAsia="仿宋_GB2312"/>
          <w:b w:val="0"/>
          <w:sz w:val="32"/>
        </w:rPr>
        <w:t>，导致经费较上年减少。</w:t>
      </w:r>
    </w:p>
    <w:p w14:paraId="7A6B597B">
      <w:pPr>
        <w:spacing w:line="580" w:lineRule="exact"/>
        <w:ind w:firstLine="640"/>
        <w:jc w:val="both"/>
      </w:pPr>
      <w:r>
        <w:rPr>
          <w:rFonts w:ascii="仿宋_GB2312" w:hAnsi="仿宋_GB2312" w:eastAsia="仿宋_GB2312"/>
          <w:b w:val="0"/>
          <w:sz w:val="32"/>
        </w:rPr>
        <w:t>34.住房保障支出(类)住房改革支出(款)住房公积金(项)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支出决算数为200.07万元，比上年决算增加17.10万元，增长9.35%</w:t>
      </w:r>
      <w:r>
        <w:rPr>
          <w:rFonts w:hint="eastAsia" w:ascii="仿宋_GB2312" w:hAnsi="仿宋_GB2312" w:eastAsia="仿宋_GB2312"/>
          <w:b w:val="0"/>
          <w:sz w:val="32"/>
          <w:lang w:eastAsia="zh-CN"/>
        </w:rPr>
        <w:t>，</w:t>
      </w:r>
      <w:r>
        <w:rPr>
          <w:rFonts w:ascii="仿宋_GB2312" w:hAnsi="仿宋_GB2312" w:eastAsia="仿宋_GB2312"/>
          <w:b w:val="0"/>
          <w:sz w:val="32"/>
        </w:rPr>
        <w:t>主要原因是：人员工资基数调增，公积金缴费基数上涨，相应支出增加。</w:t>
      </w:r>
    </w:p>
    <w:p w14:paraId="78FA7B37">
      <w:pPr>
        <w:spacing w:line="580" w:lineRule="exact"/>
        <w:ind w:firstLine="640"/>
        <w:jc w:val="both"/>
      </w:pPr>
      <w:r>
        <w:rPr>
          <w:rFonts w:ascii="仿宋_GB2312" w:hAnsi="仿宋_GB2312" w:eastAsia="仿宋_GB2312"/>
          <w:b w:val="0"/>
          <w:sz w:val="32"/>
        </w:rPr>
        <w:t>35.灾害防治及应急管理支出(类)应急管理事务(款)其他应急管理支出(项)</w:t>
      </w:r>
      <w:r>
        <w:rPr>
          <w:rFonts w:hint="eastAsia" w:ascii="仿宋_GB2312" w:hAnsi="仿宋_GB2312" w:eastAsia="仿宋_GB2312"/>
          <w:b w:val="0"/>
          <w:sz w:val="32"/>
          <w:lang w:eastAsia="zh-CN"/>
        </w:rPr>
        <w:t>：</w:t>
      </w:r>
      <w:r>
        <w:rPr>
          <w:rFonts w:ascii="仿宋_GB2312" w:hAnsi="仿宋_GB2312" w:eastAsia="仿宋_GB2312"/>
          <w:b w:val="0"/>
          <w:sz w:val="32"/>
        </w:rPr>
        <w:t>支出决算数为0.86万元，比上年决算增加0.86万元，增长100.00%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主要原因是：本年增加防洪清淤经费项目。</w:t>
      </w:r>
    </w:p>
    <w:p w14:paraId="085BFBCE">
      <w:pPr>
        <w:spacing w:line="640" w:lineRule="exact"/>
        <w:ind w:firstLine="640"/>
        <w:jc w:val="both"/>
        <w:outlineLvl w:val="2"/>
      </w:pPr>
      <w:r>
        <w:rPr>
          <w:rFonts w:ascii="黑体" w:hAnsi="黑体" w:eastAsia="黑体"/>
          <w:sz w:val="32"/>
        </w:rPr>
        <w:t>六、一般公共预算财政拨款基本支出决算情况说明</w:t>
      </w:r>
    </w:p>
    <w:p w14:paraId="4CD9E8E0">
      <w:pPr>
        <w:spacing w:line="580" w:lineRule="exact"/>
        <w:ind w:firstLine="640"/>
        <w:jc w:val="both"/>
      </w:pPr>
      <w:r>
        <w:rPr>
          <w:rFonts w:ascii="仿宋_GB2312" w:hAnsi="仿宋_GB2312" w:eastAsia="仿宋_GB2312"/>
          <w:b w:val="0"/>
          <w:sz w:val="32"/>
        </w:rPr>
        <w:t>2024年度一般公共预算财政拨款基本支出2,691.00万元，其中：</w:t>
      </w:r>
      <w:r>
        <w:rPr>
          <w:rFonts w:ascii="仿宋_GB2312" w:hAnsi="仿宋_GB2312" w:eastAsia="仿宋_GB2312"/>
          <w:b/>
          <w:sz w:val="32"/>
        </w:rPr>
        <w:t>人员经费2,625.35万元，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抚恤金、生活补助、其他对个人和家庭的补助。</w:t>
      </w:r>
    </w:p>
    <w:p w14:paraId="6F8DB781">
      <w:pPr>
        <w:spacing w:line="580" w:lineRule="exact"/>
        <w:ind w:firstLine="640"/>
        <w:jc w:val="both"/>
      </w:pPr>
      <w:r>
        <w:rPr>
          <w:rFonts w:ascii="仿宋_GB2312" w:hAnsi="仿宋_GB2312" w:eastAsia="仿宋_GB2312"/>
          <w:b/>
          <w:sz w:val="32"/>
        </w:rPr>
        <w:t>公用经费65.65万元，</w:t>
      </w:r>
      <w:r>
        <w:rPr>
          <w:rFonts w:ascii="仿宋_GB2312" w:hAnsi="仿宋_GB2312" w:eastAsia="仿宋_GB2312"/>
          <w:b w:val="0"/>
          <w:sz w:val="32"/>
        </w:rPr>
        <w:t>包括：办公费、印刷费、水费、电费、邮电费、取暖费、维修（护）费、培训费、公务用车运行维护费、其他交通费用、税金及附加费用、其他商品和服务支出。</w:t>
      </w:r>
    </w:p>
    <w:p w14:paraId="76BA094C">
      <w:pPr>
        <w:spacing w:line="640" w:lineRule="exact"/>
        <w:ind w:firstLine="640"/>
        <w:jc w:val="both"/>
        <w:outlineLvl w:val="2"/>
      </w:pPr>
      <w:r>
        <w:rPr>
          <w:rFonts w:ascii="黑体" w:hAnsi="黑体" w:eastAsia="黑体"/>
          <w:sz w:val="32"/>
        </w:rPr>
        <w:t>七、政府性基金预算财政拨款收入支出决算情况说明</w:t>
      </w:r>
    </w:p>
    <w:p w14:paraId="5DB89816">
      <w:pPr>
        <w:spacing w:line="580" w:lineRule="exact"/>
        <w:ind w:firstLine="640"/>
        <w:jc w:val="both"/>
      </w:pPr>
      <w:r>
        <w:rPr>
          <w:rFonts w:ascii="仿宋_GB2312" w:hAnsi="仿宋_GB2312" w:eastAsia="仿宋_GB2312"/>
          <w:b/>
          <w:sz w:val="32"/>
        </w:rPr>
        <w:t>2024年度政府性基金预算财政拨款收入总计2.70万元，</w:t>
      </w:r>
      <w:r>
        <w:rPr>
          <w:rFonts w:ascii="仿宋_GB2312" w:hAnsi="仿宋_GB2312" w:eastAsia="仿宋_GB2312"/>
          <w:b w:val="0"/>
          <w:sz w:val="32"/>
        </w:rPr>
        <w:t>其中：年初结转和结余0.00万元，本年收入2.70万元。</w:t>
      </w:r>
      <w:r>
        <w:rPr>
          <w:rFonts w:ascii="仿宋_GB2312" w:hAnsi="仿宋_GB2312" w:eastAsia="仿宋_GB2312"/>
          <w:b/>
          <w:sz w:val="32"/>
        </w:rPr>
        <w:t>政府性基金预算财政拨款支出总计2.70万元，</w:t>
      </w:r>
      <w:r>
        <w:rPr>
          <w:rFonts w:ascii="仿宋_GB2312" w:hAnsi="仿宋_GB2312" w:eastAsia="仿宋_GB2312"/>
          <w:b w:val="0"/>
          <w:sz w:val="32"/>
        </w:rPr>
        <w:t>其中：年末结转和结余0.00万元，本年支出2.70万元。</w:t>
      </w:r>
    </w:p>
    <w:p w14:paraId="488F44EA">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增加2.70万元，增长100.00%，主要原因是：增加2024年中央水库移民扶持基金项目。</w:t>
      </w:r>
      <w:r>
        <w:rPr>
          <w:rFonts w:ascii="仿宋_GB2312" w:hAnsi="仿宋_GB2312" w:eastAsia="仿宋_GB2312"/>
          <w:b/>
          <w:sz w:val="32"/>
        </w:rPr>
        <w:t>与年初预算相比，</w:t>
      </w:r>
      <w:r>
        <w:rPr>
          <w:rFonts w:ascii="仿宋_GB2312" w:hAnsi="仿宋_GB2312" w:eastAsia="仿宋_GB2312"/>
          <w:b w:val="0"/>
          <w:sz w:val="32"/>
        </w:rPr>
        <w:t>年初预算数0.00万元，决算数2.70万元，预决算差异率100.00%，主要原因是：</w:t>
      </w:r>
      <w:r>
        <w:rPr>
          <w:rFonts w:hint="eastAsia" w:ascii="仿宋_GB2312" w:hAnsi="仿宋_GB2312" w:eastAsia="仿宋_GB2312"/>
          <w:b w:val="0"/>
          <w:sz w:val="32"/>
          <w:lang w:val="en-US" w:eastAsia="zh-CN"/>
        </w:rPr>
        <w:t>年中</w:t>
      </w:r>
      <w:r>
        <w:rPr>
          <w:rFonts w:ascii="仿宋_GB2312" w:hAnsi="仿宋_GB2312" w:eastAsia="仿宋_GB2312"/>
          <w:b w:val="0"/>
          <w:sz w:val="32"/>
        </w:rPr>
        <w:t>追加2024年中央水库移民扶持基金项目。</w:t>
      </w:r>
    </w:p>
    <w:p w14:paraId="55EABE9D">
      <w:pPr>
        <w:spacing w:line="580" w:lineRule="exact"/>
        <w:ind w:firstLine="640"/>
        <w:jc w:val="both"/>
      </w:pPr>
      <w:r>
        <w:rPr>
          <w:rFonts w:ascii="仿宋_GB2312" w:hAnsi="仿宋_GB2312" w:eastAsia="仿宋_GB2312"/>
          <w:b w:val="0"/>
          <w:sz w:val="32"/>
        </w:rPr>
        <w:t>政府性基金预算财政拨款支出2.70万元。</w:t>
      </w:r>
    </w:p>
    <w:p w14:paraId="127FB97C">
      <w:pPr>
        <w:spacing w:line="580" w:lineRule="exact"/>
        <w:ind w:firstLine="640"/>
        <w:jc w:val="both"/>
      </w:pPr>
      <w:r>
        <w:rPr>
          <w:rFonts w:ascii="仿宋_GB2312" w:hAnsi="仿宋_GB2312" w:eastAsia="仿宋_GB2312"/>
          <w:b w:val="0"/>
          <w:sz w:val="32"/>
        </w:rPr>
        <w:t>1.农林水支出(类)大中型水库移民后期扶持基金支出(款)移民补助(项)</w:t>
      </w:r>
      <w:r>
        <w:rPr>
          <w:rFonts w:hint="eastAsia" w:ascii="仿宋_GB2312" w:hAnsi="仿宋_GB2312" w:eastAsia="仿宋_GB2312"/>
          <w:b w:val="0"/>
          <w:sz w:val="32"/>
          <w:lang w:eastAsia="zh-CN"/>
        </w:rPr>
        <w:t>：</w:t>
      </w:r>
      <w:r>
        <w:rPr>
          <w:rFonts w:ascii="仿宋_GB2312" w:hAnsi="仿宋_GB2312" w:eastAsia="仿宋_GB2312"/>
          <w:b w:val="0"/>
          <w:sz w:val="32"/>
        </w:rPr>
        <w:t>支出决算数为2.70万元，比上年决算增加2.70万元，增长100.00%</w:t>
      </w:r>
      <w:r>
        <w:rPr>
          <w:rFonts w:hint="eastAsia" w:ascii="仿宋_GB2312" w:hAnsi="仿宋_GB2312" w:eastAsia="仿宋_GB2312"/>
          <w:b w:val="0"/>
          <w:sz w:val="32"/>
          <w:lang w:eastAsia="zh-CN"/>
        </w:rPr>
        <w:t>，</w:t>
      </w:r>
      <w:r>
        <w:rPr>
          <w:rFonts w:ascii="仿宋_GB2312" w:hAnsi="仿宋_GB2312" w:eastAsia="仿宋_GB2312"/>
          <w:b w:val="0"/>
          <w:sz w:val="32"/>
        </w:rPr>
        <w:t>主要原因是：增加2024年中央水库移民扶持基金项目。</w:t>
      </w:r>
    </w:p>
    <w:p w14:paraId="096497C8">
      <w:pPr>
        <w:spacing w:line="640" w:lineRule="exact"/>
        <w:ind w:firstLine="640"/>
        <w:jc w:val="both"/>
        <w:outlineLvl w:val="2"/>
      </w:pPr>
      <w:r>
        <w:rPr>
          <w:rFonts w:ascii="黑体" w:hAnsi="黑体" w:eastAsia="黑体"/>
          <w:sz w:val="32"/>
        </w:rPr>
        <w:t>八、国有资本经营预算财政拨款收入支出决算情况说明</w:t>
      </w:r>
    </w:p>
    <w:p w14:paraId="094950DB">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417B1CC9">
      <w:pPr>
        <w:spacing w:line="640" w:lineRule="exact"/>
        <w:ind w:firstLine="640"/>
        <w:jc w:val="both"/>
        <w:outlineLvl w:val="2"/>
      </w:pPr>
      <w:r>
        <w:rPr>
          <w:rFonts w:ascii="黑体" w:hAnsi="黑体" w:eastAsia="黑体"/>
          <w:sz w:val="32"/>
        </w:rPr>
        <w:t>九、财政拨款“三公”经费支出决算情况说明</w:t>
      </w:r>
    </w:p>
    <w:p w14:paraId="0270A71F">
      <w:pPr>
        <w:spacing w:line="580" w:lineRule="exact"/>
        <w:ind w:firstLine="640"/>
        <w:jc w:val="both"/>
      </w:pPr>
      <w:r>
        <w:rPr>
          <w:rFonts w:ascii="仿宋_GB2312" w:hAnsi="仿宋_GB2312" w:eastAsia="仿宋_GB2312"/>
          <w:b/>
          <w:sz w:val="32"/>
        </w:rPr>
        <w:t>2024年度财政拨款“三公”经费支出7.05万元，</w:t>
      </w:r>
      <w:r>
        <w:rPr>
          <w:rFonts w:ascii="仿宋_GB2312" w:hAnsi="仿宋_GB2312" w:eastAsia="仿宋_GB2312"/>
          <w:b w:val="0"/>
          <w:sz w:val="32"/>
        </w:rPr>
        <w:t>比上年减少1.77万元，下降20.07%，主要原因是：严格落实中央八项规定精神，厉行节约，减少公务用车运行维护费。其中：因公出国（境）费支出0.00万元，占0.00%，比上年增加0.00万元，增长0.00%，主要原因是：2023年与2024年均未安排因公出国（境）费支出。公务用车购置及运行维护费支出7.05万元，占100.00%，比上年减少1.77万元，下降20.07%，主要原因是：严格落实中央八项规定精神，厉行节约，减少公务用车运行维护费。公务接待费支出0.00万元，占0.00%，比上年增加0.00万元，增长0.00%，主要原因是：2023年与2024年均未安排公务接待费支出。</w:t>
      </w:r>
    </w:p>
    <w:p w14:paraId="660CD766">
      <w:pPr>
        <w:spacing w:line="580" w:lineRule="exact"/>
        <w:ind w:firstLine="640"/>
        <w:jc w:val="both"/>
      </w:pPr>
      <w:r>
        <w:rPr>
          <w:rFonts w:ascii="仿宋_GB2312" w:hAnsi="仿宋_GB2312" w:eastAsia="仿宋_GB2312"/>
          <w:b/>
          <w:sz w:val="32"/>
        </w:rPr>
        <w:t>具体情况如下：</w:t>
      </w:r>
    </w:p>
    <w:p w14:paraId="2CF92C96">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53897729">
      <w:pPr>
        <w:spacing w:line="580" w:lineRule="exact"/>
        <w:ind w:firstLine="640"/>
        <w:jc w:val="both"/>
      </w:pPr>
      <w:r>
        <w:rPr>
          <w:rFonts w:ascii="仿宋_GB2312" w:hAnsi="仿宋_GB2312" w:eastAsia="仿宋_GB2312"/>
          <w:b w:val="0"/>
          <w:sz w:val="32"/>
        </w:rPr>
        <w:t>公务用车购置及运行维护费7.05万元，其中：公务用车购置费0.00万元，公务用车运行维护费7.05万元。公务用车运行维护费开支内容包括车辆加油费、维修费、保险费、审车费、过路费等。公务用车购置数0辆，公务用车保有量8辆。国有资产占用情况中固定资产车辆8辆，与公务用车保有量差异原因是：本单位固定资产车辆与公务用车保有量一致无差异。</w:t>
      </w:r>
    </w:p>
    <w:p w14:paraId="36487E58">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0C19585E">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7.05万元，决算数7.05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7.05万元，决算数7.05万元，预决算差异率0.00%，主要原因是：严格按照预算执行，预决算无差异。公务接待费全年预算数0.00万元，决算数0.00万元，预决算差异率0.00%，主要原因是：本单位无公务接待费。</w:t>
      </w:r>
    </w:p>
    <w:p w14:paraId="1D85CF42">
      <w:pPr>
        <w:spacing w:line="640" w:lineRule="exact"/>
        <w:ind w:firstLine="640"/>
        <w:jc w:val="both"/>
        <w:outlineLvl w:val="2"/>
      </w:pPr>
      <w:r>
        <w:rPr>
          <w:rFonts w:ascii="黑体" w:hAnsi="黑体" w:eastAsia="黑体"/>
          <w:sz w:val="32"/>
        </w:rPr>
        <w:t>十、其他重要事项的情况说明</w:t>
      </w:r>
    </w:p>
    <w:p w14:paraId="6877B429">
      <w:pPr>
        <w:spacing w:line="640" w:lineRule="exact"/>
        <w:ind w:firstLine="640"/>
        <w:jc w:val="both"/>
        <w:outlineLvl w:val="3"/>
      </w:pPr>
      <w:r>
        <w:rPr>
          <w:rFonts w:ascii="楷体_GB2312" w:hAnsi="楷体_GB2312" w:eastAsia="楷体_GB2312"/>
          <w:b/>
          <w:sz w:val="32"/>
        </w:rPr>
        <w:t>（一）机关运行经费及公用经费支出情况</w:t>
      </w:r>
    </w:p>
    <w:p w14:paraId="4DA8C52A">
      <w:pPr>
        <w:spacing w:line="580" w:lineRule="exact"/>
        <w:ind w:firstLine="640"/>
        <w:jc w:val="both"/>
      </w:pPr>
      <w:r>
        <w:rPr>
          <w:rFonts w:ascii="仿宋_GB2312" w:hAnsi="仿宋_GB2312" w:eastAsia="仿宋_GB2312"/>
          <w:b w:val="0"/>
          <w:sz w:val="32"/>
        </w:rPr>
        <w:t>2024年度阿克陶县塔尔塔吉克民族乡人民政府（行政单位和参照公务员法管理事业单位）机关运行经费支出65.65万元，比上年增加2.42万元，增长3.83%，主要原因是：本年业务量增加，机关运行经费增加。</w:t>
      </w:r>
    </w:p>
    <w:p w14:paraId="210F918A">
      <w:pPr>
        <w:spacing w:line="640" w:lineRule="exact"/>
        <w:ind w:firstLine="640"/>
        <w:jc w:val="both"/>
        <w:outlineLvl w:val="3"/>
      </w:pPr>
      <w:r>
        <w:rPr>
          <w:rFonts w:ascii="楷体_GB2312" w:hAnsi="楷体_GB2312" w:eastAsia="楷体_GB2312"/>
          <w:b/>
          <w:sz w:val="32"/>
        </w:rPr>
        <w:t>（二）政府采购情况</w:t>
      </w:r>
    </w:p>
    <w:p w14:paraId="2F02FF84">
      <w:pPr>
        <w:spacing w:line="580" w:lineRule="exact"/>
        <w:ind w:firstLine="640"/>
        <w:jc w:val="both"/>
      </w:pPr>
      <w:r>
        <w:rPr>
          <w:rFonts w:ascii="仿宋_GB2312" w:hAnsi="仿宋_GB2312" w:eastAsia="仿宋_GB2312"/>
          <w:b w:val="0"/>
          <w:sz w:val="32"/>
        </w:rPr>
        <w:t>2024年度政府采购支出总额17.82万元，其中：政府采购货物支出7.50万元、政府采购工程支出0.00万元、政府采购服务支出10.32万元。</w:t>
      </w:r>
    </w:p>
    <w:p w14:paraId="3B3E2BBF">
      <w:pPr>
        <w:spacing w:line="580" w:lineRule="exact"/>
        <w:ind w:firstLine="640"/>
        <w:jc w:val="both"/>
      </w:pPr>
      <w:r>
        <w:rPr>
          <w:rFonts w:ascii="仿宋_GB2312" w:hAnsi="仿宋_GB2312" w:eastAsia="仿宋_GB2312"/>
          <w:b w:val="0"/>
          <w:sz w:val="32"/>
        </w:rPr>
        <w:t>授予中小企业合同金额17.14万元，占政府采购支出总额的96.18%，其中：授予小微企业合同金额14.29万元，占政府采购支出总额的80.19%。</w:t>
      </w:r>
    </w:p>
    <w:p w14:paraId="601B654B">
      <w:pPr>
        <w:spacing w:line="640" w:lineRule="exact"/>
        <w:ind w:firstLine="640"/>
        <w:jc w:val="both"/>
        <w:outlineLvl w:val="3"/>
      </w:pPr>
      <w:r>
        <w:rPr>
          <w:rFonts w:ascii="楷体_GB2312" w:hAnsi="楷体_GB2312" w:eastAsia="楷体_GB2312"/>
          <w:b/>
          <w:sz w:val="32"/>
        </w:rPr>
        <w:t>（三）国有资产占用情况说明</w:t>
      </w:r>
    </w:p>
    <w:p w14:paraId="48160667">
      <w:pPr>
        <w:spacing w:line="580" w:lineRule="exact"/>
        <w:ind w:firstLine="640"/>
        <w:jc w:val="both"/>
      </w:pPr>
      <w:r>
        <w:rPr>
          <w:rFonts w:ascii="仿宋_GB2312" w:hAnsi="仿宋_GB2312" w:eastAsia="仿宋_GB2312"/>
          <w:b w:val="0"/>
          <w:sz w:val="32"/>
        </w:rPr>
        <w:t>截至2024年12月31日，房屋7,761.26平方米，价值1,611.24万元。车辆8辆，价值115.03万元，其中：副部（省）级及以上领导用车0辆、主要负责人用车3辆、机要通信用车0辆、应急保障用车0辆、执法执勤用车0辆、特种专业技术用车1辆、离退休干部服务用车0辆、其他用车4辆，其他用车主要是：纪检专用车1辆，计生用车1辆，综治用车1辆，垃圾清运车1辆。单价100万元（含）以上设备（不含车辆）2台（套）。</w:t>
      </w:r>
    </w:p>
    <w:p w14:paraId="0DA86F90">
      <w:pPr>
        <w:spacing w:line="640" w:lineRule="exact"/>
        <w:ind w:firstLine="640"/>
        <w:jc w:val="both"/>
        <w:outlineLvl w:val="2"/>
      </w:pPr>
      <w:r>
        <w:rPr>
          <w:rFonts w:ascii="黑体" w:hAnsi="黑体" w:eastAsia="黑体"/>
          <w:sz w:val="32"/>
        </w:rPr>
        <w:t>十一、预算绩效的情况说明</w:t>
      </w:r>
    </w:p>
    <w:p w14:paraId="252EA9C9">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3,398.67万元，实际执行总额3,347.44万元；预算绩效评价项目0个，全年预算数0.00万元，全年执行数0.00万元。预算绩效管理取得的成效：一是本单位以绩效目标实现为导向，加强制度建设，提升预算执行质量，预算绩效管理取得一定成效。预算绩效管理取得的成效，科学制定目标，促进绩效目标顺利实现。二是自落实预算绩效管理工作以来，本单位在项目资金的使用上都有了更明确、更清晰</w:t>
      </w:r>
      <w:r>
        <w:rPr>
          <w:rFonts w:hint="eastAsia" w:ascii="仿宋_GB2312" w:hAnsi="仿宋_GB2312" w:eastAsia="仿宋_GB2312"/>
          <w:b w:val="0"/>
          <w:sz w:val="32"/>
          <w:lang w:eastAsia="zh-CN"/>
        </w:rPr>
        <w:t>地</w:t>
      </w:r>
      <w:r>
        <w:rPr>
          <w:rFonts w:ascii="仿宋_GB2312" w:hAnsi="仿宋_GB2312" w:eastAsia="仿宋_GB2312"/>
          <w:b w:val="0"/>
          <w:sz w:val="32"/>
        </w:rPr>
        <w:t>理解和认识。通过实施预算绩效管理，树立了绩效优先的管理理念，也很好</w:t>
      </w:r>
      <w:r>
        <w:rPr>
          <w:rFonts w:hint="eastAsia" w:ascii="仿宋_GB2312" w:hAnsi="仿宋_GB2312" w:eastAsia="仿宋_GB2312"/>
          <w:b w:val="0"/>
          <w:sz w:val="32"/>
          <w:lang w:eastAsia="zh-CN"/>
        </w:rPr>
        <w:t>地</w:t>
      </w:r>
      <w:r>
        <w:rPr>
          <w:rFonts w:ascii="仿宋_GB2312" w:hAnsi="仿宋_GB2312" w:eastAsia="仿宋_GB2312"/>
          <w:b w:val="0"/>
          <w:sz w:val="32"/>
        </w:rPr>
        <w:t>避免了在经费使用上出现违规行为的</w:t>
      </w:r>
      <w:r>
        <w:rPr>
          <w:rFonts w:hint="eastAsia" w:ascii="仿宋_GB2312" w:hAnsi="仿宋_GB2312" w:eastAsia="仿宋_GB2312"/>
          <w:b w:val="0"/>
          <w:sz w:val="32"/>
          <w:lang w:eastAsia="zh-CN"/>
        </w:rPr>
        <w:t>概率</w:t>
      </w:r>
      <w:r>
        <w:rPr>
          <w:rFonts w:ascii="仿宋_GB2312" w:hAnsi="仿宋_GB2312" w:eastAsia="仿宋_GB2312"/>
          <w:b w:val="0"/>
          <w:sz w:val="32"/>
        </w:rPr>
        <w:t>，提升了部门管理水平和资金使用效益，为全面实施绩效管理打下了坚实的基础。发现的问题及原因：绩效管理专业人员匮乏，规范管理有盲点。预算绩效管理工作的覆盖面广、专业性强，不论预算单位在开展日常管理，还是财政部门组织实施绩效评价，都需要具备一定专业素养和实战经验的人力资源。下一步改进措施：加强绩效评价管理制度和流程的建设，进一步深化、完善绩效管理体系，建立全过程的预算绩效管理机制，促进绩效管理工作向广度和深度延伸。二是规范绩效评价管理资料的收集整理，确保相关信息完整、可靠，客观公正地反映项目资金实际使用和产生的绩效状况，为今后该项目实施方向及管理方式的改进提供指导。高度重视，加强领导，精心组织，逐步推开，实现编制预算绩效目标全覆盖。积极开展绩效跟踪监控，及时纠偏，确保绩效目标实现；财政管理部门对各部门绩效自评工作进行指导、监督、检查，积极运用评价结果，提高资金使用效率。加大预算绩效评价公开力度。不仅各类预算支出项目的绩效目标需要公开，还应进一步较为详细</w:t>
      </w:r>
      <w:r>
        <w:rPr>
          <w:rFonts w:hint="eastAsia" w:ascii="仿宋_GB2312" w:hAnsi="仿宋_GB2312" w:eastAsia="仿宋_GB2312"/>
          <w:b w:val="0"/>
          <w:sz w:val="32"/>
          <w:lang w:eastAsia="zh-CN"/>
        </w:rPr>
        <w:t>地</w:t>
      </w:r>
      <w:r>
        <w:rPr>
          <w:rFonts w:ascii="仿宋_GB2312" w:hAnsi="仿宋_GB2312" w:eastAsia="仿宋_GB2312"/>
          <w:b w:val="0"/>
          <w:sz w:val="32"/>
        </w:rPr>
        <w:t>公开预算绩效评价结果及后续的追踪问责机制，避免出现各预算单位“自说自话”问题，实现信息透明、共享。具体附整体支出绩效自评表。</w:t>
      </w:r>
    </w:p>
    <w:p w14:paraId="20790887">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42A44B1D">
        <w:tblPrEx>
          <w:tblCellMar>
            <w:top w:w="0" w:type="dxa"/>
            <w:left w:w="108" w:type="dxa"/>
            <w:bottom w:w="0" w:type="dxa"/>
            <w:right w:w="108" w:type="dxa"/>
          </w:tblCellMar>
        </w:tblPrEx>
        <w:tc>
          <w:tcPr>
            <w:tcW w:w="8840" w:type="dxa"/>
            <w:gridSpan w:val="8"/>
            <w:vAlign w:val="center"/>
          </w:tcPr>
          <w:p w14:paraId="74162F20">
            <w:pPr>
              <w:jc w:val="center"/>
            </w:pPr>
            <w:r>
              <w:rPr>
                <w:rFonts w:ascii="宋体" w:hAnsi="宋体" w:eastAsia="宋体"/>
                <w:sz w:val="24"/>
              </w:rPr>
              <w:t>单位整体支出绩效自评表</w:t>
            </w:r>
          </w:p>
        </w:tc>
      </w:tr>
      <w:tr w14:paraId="09508212">
        <w:tblPrEx>
          <w:tblCellMar>
            <w:top w:w="0" w:type="dxa"/>
            <w:left w:w="108" w:type="dxa"/>
            <w:bottom w:w="0" w:type="dxa"/>
            <w:right w:w="108" w:type="dxa"/>
          </w:tblCellMar>
        </w:tblPrEx>
        <w:tc>
          <w:tcPr>
            <w:tcW w:w="8840" w:type="dxa"/>
            <w:gridSpan w:val="8"/>
            <w:vAlign w:val="center"/>
          </w:tcPr>
          <w:p w14:paraId="6E5AAA07">
            <w:pPr>
              <w:jc w:val="center"/>
            </w:pPr>
            <w:r>
              <w:rPr>
                <w:rFonts w:ascii="宋体" w:hAnsi="宋体" w:eastAsia="宋体"/>
                <w:sz w:val="24"/>
              </w:rPr>
              <w:t>（2024年度）</w:t>
            </w:r>
          </w:p>
        </w:tc>
      </w:tr>
      <w:tr w14:paraId="624F3752">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952624">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15C7C">
            <w:pPr>
              <w:jc w:val="center"/>
            </w:pPr>
            <w:r>
              <w:rPr>
                <w:rFonts w:ascii="宋体" w:hAnsi="宋体" w:eastAsia="宋体"/>
                <w:sz w:val="16"/>
              </w:rPr>
              <w:t>阿克陶县塔尔塔吉克民族乡人民政府</w:t>
            </w:r>
          </w:p>
        </w:tc>
      </w:tr>
      <w:tr w14:paraId="1F78542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4EF657">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5A3035">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47A15F">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1556FB">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BD90E">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5CEEF8C">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488B41">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2B16E">
            <w:pPr>
              <w:jc w:val="center"/>
            </w:pPr>
            <w:r>
              <w:rPr>
                <w:rFonts w:ascii="宋体" w:hAnsi="宋体" w:eastAsia="宋体"/>
                <w:sz w:val="16"/>
              </w:rPr>
              <w:t>得分</w:t>
            </w:r>
          </w:p>
        </w:tc>
      </w:tr>
      <w:tr w14:paraId="5CC007A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49CD64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86BDA">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B14B6E">
            <w:pPr>
              <w:jc w:val="center"/>
            </w:pPr>
            <w:r>
              <w:rPr>
                <w:rFonts w:ascii="宋体" w:hAnsi="宋体" w:eastAsia="宋体"/>
                <w:sz w:val="16"/>
              </w:rPr>
              <w:t>2,553.11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B96412C">
            <w:pPr>
              <w:jc w:val="center"/>
            </w:pPr>
            <w:r>
              <w:rPr>
                <w:rFonts w:ascii="宋体" w:hAnsi="宋体" w:eastAsia="宋体"/>
                <w:sz w:val="16"/>
              </w:rPr>
              <w:t>3,398.67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4C3A59">
            <w:pPr>
              <w:jc w:val="center"/>
            </w:pPr>
            <w:r>
              <w:rPr>
                <w:rFonts w:ascii="宋体" w:hAnsi="宋体" w:eastAsia="宋体"/>
                <w:sz w:val="16"/>
              </w:rPr>
              <w:t>3,347.44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E44C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2A9E3">
            <w:pPr>
              <w:jc w:val="center"/>
            </w:pPr>
            <w:r>
              <w:rPr>
                <w:rFonts w:ascii="宋体" w:hAnsi="宋体" w:eastAsia="宋体"/>
                <w:sz w:val="16"/>
              </w:rPr>
              <w:t>98.49%</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2B344C5">
            <w:pPr>
              <w:jc w:val="center"/>
            </w:pPr>
            <w:r>
              <w:rPr>
                <w:rFonts w:ascii="宋体" w:hAnsi="宋体" w:eastAsia="宋体"/>
                <w:sz w:val="16"/>
              </w:rPr>
              <w:t>9.85</w:t>
            </w:r>
          </w:p>
        </w:tc>
      </w:tr>
      <w:tr w14:paraId="5300BC6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EC059F9"/>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8CB2B">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F1649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9D28A0A">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7BA0E4">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6ACBD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9D751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971CB8">
            <w:pPr>
              <w:jc w:val="center"/>
            </w:pPr>
            <w:r>
              <w:rPr>
                <w:rFonts w:ascii="宋体" w:hAnsi="宋体" w:eastAsia="宋体"/>
                <w:sz w:val="16"/>
              </w:rPr>
              <w:t>—</w:t>
            </w:r>
          </w:p>
        </w:tc>
      </w:tr>
      <w:tr w14:paraId="7E79436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FCC954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296EF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559B79">
            <w:pPr>
              <w:jc w:val="center"/>
            </w:pPr>
            <w:r>
              <w:rPr>
                <w:rFonts w:ascii="宋体" w:hAnsi="宋体" w:eastAsia="宋体"/>
                <w:sz w:val="16"/>
              </w:rPr>
              <w:t>2,553.11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1EDE56">
            <w:pPr>
              <w:jc w:val="center"/>
            </w:pPr>
            <w:r>
              <w:rPr>
                <w:rFonts w:ascii="宋体" w:hAnsi="宋体" w:eastAsia="宋体"/>
                <w:sz w:val="16"/>
              </w:rPr>
              <w:t>3,398.67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0265A2">
            <w:pPr>
              <w:jc w:val="center"/>
            </w:pPr>
            <w:r>
              <w:rPr>
                <w:rFonts w:ascii="宋体" w:hAnsi="宋体" w:eastAsia="宋体"/>
                <w:sz w:val="16"/>
              </w:rPr>
              <w:t>3,347.44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D704B">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716B7">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DB4982">
            <w:pPr>
              <w:jc w:val="center"/>
            </w:pPr>
            <w:r>
              <w:rPr>
                <w:rFonts w:ascii="宋体" w:hAnsi="宋体" w:eastAsia="宋体"/>
                <w:sz w:val="16"/>
              </w:rPr>
              <w:t>—</w:t>
            </w:r>
          </w:p>
        </w:tc>
      </w:tr>
      <w:tr w14:paraId="202847F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AA303F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6F5DC">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3D1CF8">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B35CC">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B06880">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8181C18">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0B1C5B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F074CB">
            <w:pPr>
              <w:jc w:val="center"/>
            </w:pPr>
            <w:r>
              <w:rPr>
                <w:rFonts w:ascii="宋体" w:hAnsi="宋体" w:eastAsia="宋体"/>
                <w:sz w:val="16"/>
              </w:rPr>
              <w:t>—</w:t>
            </w:r>
          </w:p>
        </w:tc>
      </w:tr>
      <w:tr w14:paraId="2A75F13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6CE1FDA">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40D13CE">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4C5BE64B">
            <w:pPr>
              <w:jc w:val="center"/>
            </w:pPr>
            <w:r>
              <w:rPr>
                <w:rFonts w:ascii="宋体" w:hAnsi="宋体" w:eastAsia="宋体"/>
                <w:sz w:val="16"/>
              </w:rPr>
              <w:t>实际完成情况</w:t>
            </w:r>
          </w:p>
        </w:tc>
      </w:tr>
      <w:tr w14:paraId="59B8216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E01CF71"/>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245E9FE">
            <w:pPr>
              <w:jc w:val="both"/>
            </w:pPr>
            <w:r>
              <w:rPr>
                <w:rFonts w:ascii="宋体" w:hAnsi="宋体" w:eastAsia="宋体"/>
                <w:sz w:val="16"/>
              </w:rPr>
              <w:t>贯彻执行党的路线、方针、政策、讨论决定本镇经济建设和社会发展等重大问题，领导乡党政机关、办公室、中心和群众组织，加强乡党委自身建设和以党支部为核心的村级组织建设；确保在职人员的工资、津贴、补贴、社保、医保、公积金等以及离退休人员的工资、医疗费，长期临聘人员生活补助等人员保障性经费能够依规、按时、足额发放或缴纳，提升部门人员工作积极性和服务质量；加强全乡的社会主义民主法治建设和精神文明建设；加强民族团结维护社会稳定。领导和管理全乡的经济工作和乡镇建设，领导和管理本乡民政、公安、司法、教育、科技、文化、卫生、体育、</w:t>
            </w:r>
            <w:r>
              <w:rPr>
                <w:rFonts w:hint="eastAsia" w:ascii="宋体" w:hAnsi="宋体"/>
                <w:sz w:val="16"/>
                <w:lang w:eastAsia="zh-CN"/>
              </w:rPr>
              <w:t>JHSY</w:t>
            </w:r>
            <w:r>
              <w:rPr>
                <w:rFonts w:ascii="宋体" w:hAnsi="宋体" w:eastAsia="宋体"/>
                <w:sz w:val="16"/>
              </w:rPr>
              <w:t>、扶贫开发、电力、防病改水、减轻农民负担以及民族</w:t>
            </w:r>
            <w:r>
              <w:rPr>
                <w:rFonts w:hint="eastAsia" w:ascii="宋体" w:hAnsi="宋体"/>
                <w:sz w:val="16"/>
                <w:lang w:eastAsia="zh-CN"/>
              </w:rPr>
              <w:t>ZJ</w:t>
            </w:r>
            <w:r>
              <w:rPr>
                <w:rFonts w:ascii="宋体" w:hAnsi="宋体" w:eastAsia="宋体"/>
                <w:sz w:val="16"/>
              </w:rPr>
              <w:t>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5CB7C4AE">
            <w:pPr>
              <w:jc w:val="both"/>
            </w:pPr>
            <w:r>
              <w:rPr>
                <w:rFonts w:ascii="宋体" w:hAnsi="宋体" w:eastAsia="宋体"/>
                <w:sz w:val="16"/>
              </w:rPr>
              <w:t>加强了乡党委自身建设和以党支部为核心的村级组织建设，确保了在职人员116人的工资，社保，津贴，补贴，公积金等以及离退休人员的工资社保，保障公务用车6辆，保障党员活动覆盖9人；领导和管理</w:t>
            </w:r>
            <w:r>
              <w:rPr>
                <w:rFonts w:hint="eastAsia" w:ascii="宋体" w:hAnsi="宋体"/>
                <w:sz w:val="16"/>
                <w:lang w:eastAsia="zh-CN"/>
              </w:rPr>
              <w:t>全乡</w:t>
            </w:r>
            <w:r>
              <w:rPr>
                <w:rFonts w:ascii="宋体" w:hAnsi="宋体" w:eastAsia="宋体"/>
                <w:sz w:val="16"/>
              </w:rPr>
              <w:t>的经济工作和乡村建设，领导和管理本乡民政、公安、司法、教育、文体、卫生、计生、乡村振兴、防病改水、减轻农牧民负担，加强民族团结社会稳定。</w:t>
            </w:r>
          </w:p>
        </w:tc>
      </w:tr>
      <w:tr w14:paraId="2776D4E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6E154">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9B4B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9C2683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7D9D93A">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0E3CA3">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DC0B4F3">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BBA28C5">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CDFB9D3">
            <w:pPr>
              <w:jc w:val="center"/>
            </w:pPr>
            <w:r>
              <w:rPr>
                <w:rFonts w:ascii="宋体" w:hAnsi="宋体" w:eastAsia="宋体"/>
                <w:sz w:val="16"/>
              </w:rPr>
              <w:t>得分</w:t>
            </w:r>
          </w:p>
        </w:tc>
      </w:tr>
      <w:tr w14:paraId="5322711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F06E8D4">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4A91992">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899DF7">
            <w:pPr>
              <w:jc w:val="center"/>
            </w:pPr>
            <w:r>
              <w:rPr>
                <w:rFonts w:ascii="宋体" w:hAnsi="宋体" w:eastAsia="宋体"/>
                <w:sz w:val="16"/>
              </w:rPr>
              <w:t>保障在职人员人数(人)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3D29CC9">
            <w:pPr>
              <w:jc w:val="center"/>
            </w:pPr>
            <w:r>
              <w:rPr>
                <w:rFonts w:ascii="宋体" w:hAnsi="宋体" w:eastAsia="宋体"/>
                <w:sz w:val="16"/>
              </w:rPr>
              <w:t>=120人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BDFC95">
            <w:pPr>
              <w:jc w:val="center"/>
            </w:pPr>
            <w:r>
              <w:rPr>
                <w:rFonts w:ascii="宋体" w:hAnsi="宋体" w:eastAsia="宋体"/>
                <w:sz w:val="16"/>
              </w:rPr>
              <w:t>上年末工资册汇总表</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D4312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C4A2A26">
            <w:pPr>
              <w:jc w:val="center"/>
            </w:pPr>
            <w:r>
              <w:rPr>
                <w:rFonts w:ascii="宋体" w:hAnsi="宋体" w:eastAsia="宋体"/>
                <w:sz w:val="16"/>
              </w:rPr>
              <w:t>=116人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EE8C794">
            <w:pPr>
              <w:jc w:val="center"/>
            </w:pPr>
            <w:r>
              <w:rPr>
                <w:rFonts w:ascii="宋体" w:hAnsi="宋体" w:eastAsia="宋体"/>
                <w:sz w:val="16"/>
              </w:rPr>
              <w:t>9.67</w:t>
            </w:r>
          </w:p>
        </w:tc>
      </w:tr>
      <w:tr w14:paraId="00F5731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CDAF7C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9A10C5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DFC30E">
            <w:pPr>
              <w:jc w:val="center"/>
            </w:pPr>
            <w:r>
              <w:rPr>
                <w:rFonts w:ascii="宋体" w:hAnsi="宋体" w:eastAsia="宋体"/>
                <w:sz w:val="16"/>
              </w:rPr>
              <w:t>年度部门整体支出控制数（万元）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ADE2EF9">
            <w:pPr>
              <w:jc w:val="center"/>
            </w:pPr>
            <w:r>
              <w:rPr>
                <w:rFonts w:ascii="宋体" w:hAnsi="宋体" w:eastAsia="宋体"/>
                <w:sz w:val="16"/>
              </w:rPr>
              <w:t>&lt;=2553.11万元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16652D">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5CE34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BA21CE">
            <w:pPr>
              <w:jc w:val="center"/>
            </w:pPr>
            <w:r>
              <w:rPr>
                <w:rFonts w:ascii="宋体" w:hAnsi="宋体" w:eastAsia="宋体"/>
                <w:sz w:val="16"/>
              </w:rPr>
              <w:t>=3347.44万元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EC7AB5">
            <w:pPr>
              <w:jc w:val="center"/>
            </w:pPr>
            <w:r>
              <w:rPr>
                <w:rFonts w:ascii="宋体" w:hAnsi="宋体" w:eastAsia="宋体"/>
                <w:sz w:val="16"/>
              </w:rPr>
              <w:t>7.63</w:t>
            </w:r>
          </w:p>
        </w:tc>
      </w:tr>
      <w:tr w14:paraId="6279485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EA085EE"/>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4089580"/>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63C1A7">
            <w:pPr>
              <w:jc w:val="center"/>
            </w:pPr>
            <w:r>
              <w:rPr>
                <w:rFonts w:ascii="宋体" w:hAnsi="宋体" w:eastAsia="宋体"/>
                <w:sz w:val="16"/>
              </w:rPr>
              <w:t>资金使用合格率（%）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C4A5B">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C80D23">
            <w:pPr>
              <w:jc w:val="center"/>
            </w:pPr>
            <w:r>
              <w:rPr>
                <w:rFonts w:ascii="宋体" w:hAnsi="宋体" w:eastAsia="宋体"/>
                <w:sz w:val="16"/>
              </w:rPr>
              <w:t>2024年度工作计划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DC207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A317E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FF9AC24">
            <w:pPr>
              <w:jc w:val="center"/>
            </w:pPr>
            <w:r>
              <w:rPr>
                <w:rFonts w:ascii="宋体" w:hAnsi="宋体" w:eastAsia="宋体"/>
                <w:sz w:val="16"/>
              </w:rPr>
              <w:t>10</w:t>
            </w:r>
          </w:p>
        </w:tc>
      </w:tr>
      <w:tr w14:paraId="39E032CE">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D73FAC">
            <w:pPr>
              <w:jc w:val="center"/>
            </w:pPr>
            <w:r>
              <w:rPr>
                <w:rFonts w:ascii="宋体" w:hAnsi="宋体" w:eastAsia="宋体"/>
                <w:sz w:val="16"/>
              </w:rPr>
              <w:t>管理效率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DC8F25">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97C644">
            <w:pPr>
              <w:jc w:val="center"/>
            </w:pPr>
            <w:r>
              <w:rPr>
                <w:rFonts w:ascii="宋体" w:hAnsi="宋体" w:eastAsia="宋体"/>
                <w:sz w:val="16"/>
              </w:rPr>
              <w:t>管理服务辖区内群众覆盖率（%）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A5C6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5E8B4E">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E05070">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F7408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C4ABB1">
            <w:pPr>
              <w:jc w:val="center"/>
            </w:pPr>
            <w:r>
              <w:rPr>
                <w:rFonts w:ascii="宋体" w:hAnsi="宋体" w:eastAsia="宋体"/>
                <w:sz w:val="16"/>
              </w:rPr>
              <w:t>10</w:t>
            </w:r>
          </w:p>
        </w:tc>
      </w:tr>
      <w:tr w14:paraId="44560E05">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4875F">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3E30937">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7B6475">
            <w:pPr>
              <w:jc w:val="center"/>
            </w:pPr>
            <w:r>
              <w:rPr>
                <w:rFonts w:ascii="宋体" w:hAnsi="宋体" w:eastAsia="宋体"/>
                <w:sz w:val="16"/>
              </w:rPr>
              <w:t>保障公务用车数量（辆）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486036C">
            <w:pPr>
              <w:jc w:val="center"/>
            </w:pPr>
            <w:r>
              <w:rPr>
                <w:rFonts w:ascii="宋体" w:hAnsi="宋体" w:eastAsia="宋体"/>
                <w:sz w:val="16"/>
              </w:rPr>
              <w:t>=6辆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7058576">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C098AF">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60D750">
            <w:pPr>
              <w:jc w:val="center"/>
            </w:pPr>
            <w:r>
              <w:rPr>
                <w:rFonts w:ascii="宋体" w:hAnsi="宋体" w:eastAsia="宋体"/>
                <w:sz w:val="16"/>
              </w:rPr>
              <w:t>=6辆</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03BE79">
            <w:pPr>
              <w:jc w:val="center"/>
            </w:pPr>
            <w:r>
              <w:rPr>
                <w:rFonts w:ascii="宋体" w:hAnsi="宋体" w:eastAsia="宋体"/>
                <w:sz w:val="16"/>
              </w:rPr>
              <w:t>10</w:t>
            </w:r>
          </w:p>
        </w:tc>
      </w:tr>
      <w:tr w14:paraId="25F9EC1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B4CFE0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A54489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187FF11">
            <w:pPr>
              <w:jc w:val="center"/>
            </w:pPr>
            <w:r>
              <w:rPr>
                <w:rFonts w:ascii="宋体" w:hAnsi="宋体" w:eastAsia="宋体"/>
                <w:sz w:val="16"/>
              </w:rPr>
              <w:t>保障党员活动覆盖人数（人）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4CC582">
            <w:pPr>
              <w:jc w:val="center"/>
            </w:pPr>
            <w:r>
              <w:rPr>
                <w:rFonts w:ascii="宋体" w:hAnsi="宋体" w:eastAsia="宋体"/>
                <w:sz w:val="16"/>
              </w:rPr>
              <w:t>&gt;=9人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B7E02F">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18EE5">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760302">
            <w:pPr>
              <w:jc w:val="center"/>
            </w:pPr>
            <w:r>
              <w:rPr>
                <w:rFonts w:ascii="宋体" w:hAnsi="宋体" w:eastAsia="宋体"/>
                <w:sz w:val="16"/>
              </w:rPr>
              <w:t>=9人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CD8C08">
            <w:pPr>
              <w:jc w:val="center"/>
            </w:pPr>
            <w:r>
              <w:rPr>
                <w:rFonts w:ascii="宋体" w:hAnsi="宋体" w:eastAsia="宋体"/>
                <w:sz w:val="16"/>
              </w:rPr>
              <w:t>10</w:t>
            </w:r>
          </w:p>
        </w:tc>
      </w:tr>
      <w:tr w14:paraId="5081EE1C">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9507C2">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B619AD">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2F02914">
            <w:pPr>
              <w:jc w:val="center"/>
            </w:pPr>
            <w:r>
              <w:rPr>
                <w:rFonts w:ascii="宋体" w:hAnsi="宋体" w:eastAsia="宋体"/>
                <w:sz w:val="16"/>
              </w:rPr>
              <w:t>提升公共服务水平情况（%）</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ED9760D">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C155F9C">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BBAD83">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359D9">
            <w:pPr>
              <w:jc w:val="center"/>
            </w:pPr>
            <w:r>
              <w:rPr>
                <w:rFonts w:ascii="宋体" w:hAnsi="宋体" w:eastAsia="宋体"/>
                <w:sz w:val="16"/>
              </w:rPr>
              <w:t>提升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ABF54C">
            <w:pPr>
              <w:jc w:val="center"/>
            </w:pPr>
            <w:r>
              <w:rPr>
                <w:rFonts w:ascii="宋体" w:hAnsi="宋体" w:eastAsia="宋体"/>
                <w:sz w:val="16"/>
              </w:rPr>
              <w:t>10</w:t>
            </w:r>
          </w:p>
        </w:tc>
      </w:tr>
      <w:tr w14:paraId="2D1E8D44">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53FC60">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25AA952">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ACCDA5">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27F7D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1B6A064">
            <w:pPr>
              <w:jc w:val="center"/>
            </w:pPr>
            <w:r>
              <w:rPr>
                <w:rFonts w:ascii="宋体" w:hAnsi="宋体" w:eastAsia="宋体"/>
                <w:sz w:val="16"/>
              </w:rPr>
              <w:t>地方财政部门文件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2BD7AD">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C7F86">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A1FA89">
            <w:pPr>
              <w:jc w:val="center"/>
            </w:pPr>
            <w:r>
              <w:rPr>
                <w:rFonts w:ascii="宋体" w:hAnsi="宋体" w:eastAsia="宋体"/>
                <w:sz w:val="16"/>
              </w:rPr>
              <w:t>10</w:t>
            </w:r>
          </w:p>
        </w:tc>
      </w:tr>
      <w:tr w14:paraId="2FD5C402">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2B081411"/>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AD5B6FA"/>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5FD23FB">
            <w:pPr>
              <w:jc w:val="center"/>
            </w:pPr>
            <w:r>
              <w:rPr>
                <w:rFonts w:ascii="宋体" w:hAnsi="宋体" w:eastAsia="宋体"/>
                <w:sz w:val="16"/>
              </w:rPr>
              <w:t>在职人员满意度（%）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6B7205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1191DEA">
            <w:pPr>
              <w:jc w:val="center"/>
            </w:pPr>
            <w:r>
              <w:rPr>
                <w:rFonts w:hint="eastAsia" w:ascii="宋体" w:hAnsi="宋体"/>
                <w:sz w:val="16"/>
                <w:lang w:eastAsia="zh-CN"/>
              </w:rPr>
              <w:t>“十四五”发展规划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75DCB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6A5F76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5BA600">
            <w:pPr>
              <w:jc w:val="center"/>
            </w:pPr>
            <w:r>
              <w:rPr>
                <w:rFonts w:ascii="宋体" w:hAnsi="宋体" w:eastAsia="宋体"/>
                <w:sz w:val="16"/>
              </w:rPr>
              <w:t>10</w:t>
            </w:r>
          </w:p>
        </w:tc>
      </w:tr>
    </w:tbl>
    <w:p w14:paraId="1836D1B5">
      <w:r>
        <w:br w:type="page"/>
      </w:r>
    </w:p>
    <w:p w14:paraId="0C1BF214">
      <w:pPr>
        <w:spacing w:line="640" w:lineRule="exact"/>
        <w:ind w:firstLine="640"/>
        <w:jc w:val="both"/>
        <w:outlineLvl w:val="2"/>
      </w:pPr>
      <w:r>
        <w:rPr>
          <w:rFonts w:ascii="黑体" w:hAnsi="黑体" w:eastAsia="黑体"/>
          <w:sz w:val="32"/>
        </w:rPr>
        <w:t>十二、其他需说明的事项</w:t>
      </w:r>
    </w:p>
    <w:p w14:paraId="3F2B33E6">
      <w:pPr>
        <w:spacing w:line="580" w:lineRule="exact"/>
        <w:ind w:firstLine="640"/>
        <w:jc w:val="both"/>
      </w:pPr>
      <w:r>
        <w:rPr>
          <w:rFonts w:ascii="仿宋_GB2312" w:hAnsi="仿宋_GB2312" w:eastAsia="仿宋_GB2312"/>
          <w:b w:val="0"/>
          <w:sz w:val="32"/>
        </w:rPr>
        <w:t>本单位无其他需说明的事项。</w:t>
      </w:r>
    </w:p>
    <w:p w14:paraId="7276390E">
      <w:r>
        <w:br w:type="page"/>
      </w:r>
    </w:p>
    <w:p w14:paraId="246500D7">
      <w:pPr>
        <w:spacing w:line="240" w:lineRule="auto"/>
        <w:jc w:val="center"/>
        <w:outlineLvl w:val="1"/>
      </w:pPr>
      <w:r>
        <w:rPr>
          <w:rFonts w:ascii="黑体" w:hAnsi="黑体" w:eastAsia="黑体"/>
          <w:sz w:val="32"/>
        </w:rPr>
        <w:t>第三部分 专业名词解释</w:t>
      </w:r>
    </w:p>
    <w:p w14:paraId="49F98B7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630BA246">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67FDC954">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09C7023B">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98D8FD9">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26DC625B">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68C0E8DE">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06A5716D">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A3D7FEA">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3B885945">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7BE5B171">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6630D952">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53CC91CD">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02382F93">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7FCF7E33">
      <w:r>
        <w:br w:type="page"/>
      </w:r>
    </w:p>
    <w:p w14:paraId="7B1445A8">
      <w:pPr>
        <w:spacing w:line="240" w:lineRule="auto"/>
        <w:jc w:val="center"/>
        <w:outlineLvl w:val="1"/>
      </w:pPr>
      <w:r>
        <w:rPr>
          <w:rFonts w:ascii="黑体" w:hAnsi="黑体" w:eastAsia="黑体"/>
          <w:sz w:val="32"/>
        </w:rPr>
        <w:t>第四部分 部门决算报表（见附表）</w:t>
      </w:r>
    </w:p>
    <w:p w14:paraId="45736640">
      <w:pPr>
        <w:spacing w:line="240" w:lineRule="auto"/>
        <w:ind w:firstLine="640"/>
        <w:jc w:val="both"/>
      </w:pPr>
      <w:r>
        <w:rPr>
          <w:rFonts w:ascii="仿宋_GB2312" w:hAnsi="仿宋_GB2312" w:eastAsia="仿宋_GB2312"/>
          <w:b w:val="0"/>
          <w:sz w:val="32"/>
        </w:rPr>
        <w:t>一、《收入支出决算总表》</w:t>
      </w:r>
    </w:p>
    <w:p w14:paraId="435E2B05">
      <w:pPr>
        <w:spacing w:line="240" w:lineRule="auto"/>
        <w:ind w:firstLine="640"/>
        <w:jc w:val="both"/>
      </w:pPr>
      <w:r>
        <w:rPr>
          <w:rFonts w:ascii="仿宋_GB2312" w:hAnsi="仿宋_GB2312" w:eastAsia="仿宋_GB2312"/>
          <w:b w:val="0"/>
          <w:sz w:val="32"/>
        </w:rPr>
        <w:t>二、《收入决算表》</w:t>
      </w:r>
    </w:p>
    <w:p w14:paraId="0E384E72">
      <w:pPr>
        <w:spacing w:line="240" w:lineRule="auto"/>
        <w:ind w:firstLine="640"/>
        <w:jc w:val="both"/>
      </w:pPr>
      <w:r>
        <w:rPr>
          <w:rFonts w:ascii="仿宋_GB2312" w:hAnsi="仿宋_GB2312" w:eastAsia="仿宋_GB2312"/>
          <w:b w:val="0"/>
          <w:sz w:val="32"/>
        </w:rPr>
        <w:t>三、《支出决算表》</w:t>
      </w:r>
    </w:p>
    <w:p w14:paraId="7296ABB4">
      <w:pPr>
        <w:spacing w:line="240" w:lineRule="auto"/>
        <w:ind w:firstLine="640"/>
        <w:jc w:val="both"/>
      </w:pPr>
      <w:r>
        <w:rPr>
          <w:rFonts w:ascii="仿宋_GB2312" w:hAnsi="仿宋_GB2312" w:eastAsia="仿宋_GB2312"/>
          <w:b w:val="0"/>
          <w:sz w:val="32"/>
        </w:rPr>
        <w:t>四、《财政拨款收入支出决算总表》</w:t>
      </w:r>
    </w:p>
    <w:p w14:paraId="7B02643A">
      <w:pPr>
        <w:spacing w:line="240" w:lineRule="auto"/>
        <w:ind w:firstLine="640"/>
        <w:jc w:val="both"/>
      </w:pPr>
      <w:r>
        <w:rPr>
          <w:rFonts w:ascii="仿宋_GB2312" w:hAnsi="仿宋_GB2312" w:eastAsia="仿宋_GB2312"/>
          <w:b w:val="0"/>
          <w:sz w:val="32"/>
        </w:rPr>
        <w:t>五、《一般公共预算财政拨款支出决算表》</w:t>
      </w:r>
    </w:p>
    <w:p w14:paraId="5D58DBF6">
      <w:pPr>
        <w:spacing w:line="240" w:lineRule="auto"/>
        <w:ind w:firstLine="640"/>
        <w:jc w:val="both"/>
      </w:pPr>
      <w:r>
        <w:rPr>
          <w:rFonts w:ascii="仿宋_GB2312" w:hAnsi="仿宋_GB2312" w:eastAsia="仿宋_GB2312"/>
          <w:b w:val="0"/>
          <w:sz w:val="32"/>
        </w:rPr>
        <w:t>六、《一般公共预算财政拨款基本支出决算表》</w:t>
      </w:r>
    </w:p>
    <w:p w14:paraId="2AFC8B61">
      <w:pPr>
        <w:spacing w:line="240" w:lineRule="auto"/>
        <w:ind w:firstLine="640"/>
        <w:jc w:val="both"/>
      </w:pPr>
      <w:r>
        <w:rPr>
          <w:rFonts w:ascii="仿宋_GB2312" w:hAnsi="仿宋_GB2312" w:eastAsia="仿宋_GB2312"/>
          <w:b w:val="0"/>
          <w:sz w:val="32"/>
        </w:rPr>
        <w:t>七、《政府性基金预算财政拨款收入支出决算表》</w:t>
      </w:r>
    </w:p>
    <w:p w14:paraId="4DA9A258">
      <w:pPr>
        <w:spacing w:line="240" w:lineRule="auto"/>
        <w:ind w:firstLine="640"/>
        <w:jc w:val="both"/>
      </w:pPr>
      <w:r>
        <w:rPr>
          <w:rFonts w:ascii="仿宋_GB2312" w:hAnsi="仿宋_GB2312" w:eastAsia="仿宋_GB2312"/>
          <w:b w:val="0"/>
          <w:sz w:val="32"/>
        </w:rPr>
        <w:t>八、《国有资本经营预算财政拨款收入支出决算表》</w:t>
      </w:r>
    </w:p>
    <w:p w14:paraId="1F8216B5">
      <w:pPr>
        <w:spacing w:line="240" w:lineRule="auto"/>
        <w:ind w:firstLine="640"/>
        <w:jc w:val="both"/>
      </w:pPr>
      <w:r>
        <w:rPr>
          <w:rFonts w:ascii="仿宋_GB2312" w:hAnsi="仿宋_GB2312" w:eastAsia="仿宋_GB2312"/>
          <w:b w:val="0"/>
          <w:sz w:val="32"/>
        </w:rPr>
        <w:t>九、《财政拨款“三公”经费支出决算表》</w:t>
      </w:r>
    </w:p>
    <w:p w14:paraId="18F95D49">
      <w:pPr>
        <w:spacing w:line="240" w:lineRule="auto"/>
        <w:ind w:firstLine="640"/>
        <w:jc w:val="both"/>
      </w:pPr>
    </w:p>
    <w:p w14:paraId="65678B7A">
      <w:pPr>
        <w:spacing w:line="240" w:lineRule="auto"/>
        <w:ind w:firstLine="640"/>
        <w:jc w:val="both"/>
      </w:pPr>
    </w:p>
    <w:p w14:paraId="118D12BD">
      <w:pPr>
        <w:spacing w:line="240" w:lineRule="auto"/>
        <w:ind w:firstLine="640"/>
        <w:jc w:val="both"/>
      </w:pPr>
    </w:p>
    <w:p w14:paraId="589CC114">
      <w:pPr>
        <w:spacing w:line="240" w:lineRule="auto"/>
        <w:ind w:firstLine="640"/>
        <w:jc w:val="both"/>
      </w:pPr>
    </w:p>
    <w:p w14:paraId="3921A0BA">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swiss"/>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EECF4F17-2E87-415A-90E0-A631EC47559F}"/>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panose1 w:val="02000000000000000000"/>
    <w:charset w:val="86"/>
    <w:family w:val="script"/>
    <w:pitch w:val="default"/>
    <w:sig w:usb0="A00002BF" w:usb1="38CF7CFA" w:usb2="00082016" w:usb3="00000000" w:csb0="00040001" w:csb1="00000000"/>
    <w:embedRegular r:id="rId2" w:fontKey="{C1B721D2-930F-4A4F-B907-74992A10A584}"/>
  </w:font>
  <w:font w:name="仿宋_GB2312">
    <w:altName w:val="仿宋"/>
    <w:panose1 w:val="02010609030101010101"/>
    <w:charset w:val="86"/>
    <w:family w:val="modern"/>
    <w:pitch w:val="default"/>
    <w:sig w:usb0="00000000" w:usb1="00000000" w:usb2="00000000" w:usb3="00000000" w:csb0="00040000" w:csb1="00000000"/>
    <w:embedRegular r:id="rId3" w:fontKey="{6B2A3B66-40C9-4DA4-90F2-7AC868B93EDC}"/>
  </w:font>
  <w:font w:name="仿宋">
    <w:panose1 w:val="02010609060101010101"/>
    <w:charset w:val="86"/>
    <w:family w:val="auto"/>
    <w:pitch w:val="default"/>
    <w:sig w:usb0="800002BF" w:usb1="38CF7CFA" w:usb2="00000016" w:usb3="00000000" w:csb0="00040001" w:csb1="00000000"/>
  </w:font>
  <w:font w:name="楷体_GB2312">
    <w:altName w:val="楷体"/>
    <w:panose1 w:val="00000000000000000000"/>
    <w:charset w:val="00"/>
    <w:family w:val="auto"/>
    <w:pitch w:val="default"/>
    <w:sig w:usb0="00000000" w:usb1="00000000" w:usb2="00000000" w:usb3="00000000" w:csb0="00000000" w:csb1="00000000"/>
    <w:embedRegular r:id="rId4" w:fontKey="{8F8BECC5-554D-4C71-AB89-962DF3B90769}"/>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6"/>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5A31919"/>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5B42707"/>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8077</Words>
  <Characters>9325</Characters>
  <Lines>0</Lines>
  <Paragraphs>0</Paragraphs>
  <TotalTime>20</TotalTime>
  <ScaleCrop>false</ScaleCrop>
  <LinksUpToDate>false</LinksUpToDate>
  <CharactersWithSpaces>9333</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忆</cp:lastModifiedBy>
  <cp:lastPrinted>2024-07-22T11:58:00Z</cp:lastPrinted>
  <dcterms:modified xsi:type="dcterms:W3CDTF">2025-09-15T09:13:26Z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B858A68E913346F885B5BC17D4DBEB06_13</vt:lpwstr>
  </property>
  <property fmtid="{D5CDD505-2E9C-101B-9397-08002B2CF9AE}" pid="4" name="KSOTemplateDocerSaveRecord">
    <vt:lpwstr>eyJoZGlkIjoiMzEwNjkzMWMxZWMzNzU0NmUyNzQ2NGY3YzlmZjBhZDUiLCJ1c2VySWQiOiI0OTMxMTE3MjUifQ==</vt:lpwstr>
  </property>
</Properties>
</file>