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36094E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新疆阿克陶县文工团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834B17">
      <w:r>
        <w:br w:type="page"/>
      </w:r>
    </w:p>
    <w:p w14:paraId="6D76CD45">
      <w:pPr>
        <w:spacing w:line="640" w:lineRule="exact"/>
        <w:jc w:val="center"/>
        <w:outlineLvl w:val="1"/>
      </w:pPr>
      <w:r>
        <w:rPr>
          <w:rFonts w:ascii="黑体" w:hAnsi="黑体" w:eastAsia="黑体"/>
          <w:sz w:val="32"/>
        </w:rPr>
        <w:t>第一部分 单位概况</w:t>
      </w:r>
    </w:p>
    <w:p w14:paraId="358FE476">
      <w:pPr>
        <w:spacing w:line="640" w:lineRule="exact"/>
        <w:ind w:firstLine="640"/>
        <w:jc w:val="both"/>
        <w:outlineLvl w:val="2"/>
      </w:pPr>
      <w:r>
        <w:rPr>
          <w:rFonts w:ascii="黑体" w:hAnsi="黑体" w:eastAsia="黑体"/>
          <w:sz w:val="32"/>
        </w:rPr>
        <w:t>一、主要职能</w:t>
      </w:r>
    </w:p>
    <w:p w14:paraId="799C7FC3">
      <w:pPr>
        <w:spacing w:line="580" w:lineRule="exact"/>
        <w:ind w:firstLine="640"/>
        <w:jc w:val="both"/>
      </w:pPr>
      <w:r>
        <w:rPr>
          <w:rFonts w:ascii="仿宋_GB2312" w:hAnsi="仿宋_GB2312" w:eastAsia="仿宋_GB2312"/>
          <w:sz w:val="32"/>
        </w:rPr>
        <w:t>（1）在县委、县政府、县政府及上级有关阿克陶县文工团的指导下，认真贯彻党和政府的各项方针、政策、法律、法规，严格按照“读者第一，服务至上”的宗旨，认真开展各项工作。</w:t>
      </w:r>
    </w:p>
    <w:p w14:paraId="1EBA1E5A">
      <w:pPr>
        <w:spacing w:line="580" w:lineRule="exact"/>
        <w:ind w:firstLine="640"/>
        <w:jc w:val="both"/>
      </w:pPr>
      <w:r>
        <w:rPr>
          <w:rFonts w:ascii="仿宋_GB2312" w:hAnsi="仿宋_GB2312" w:eastAsia="仿宋_GB2312"/>
          <w:sz w:val="32"/>
        </w:rPr>
        <w:t>（2）运用各种形式宣传党的各项惠民政策，贯彻党和国家以及自治区有关文化艺术工作方针、政策、法律、法规，对全县文化艺术工作实行统筹规划、宏观管理。</w:t>
      </w:r>
    </w:p>
    <w:p w14:paraId="0CCF9D02">
      <w:pPr>
        <w:spacing w:line="580" w:lineRule="exact"/>
        <w:ind w:firstLine="640"/>
        <w:jc w:val="both"/>
      </w:pPr>
      <w:r>
        <w:rPr>
          <w:rFonts w:ascii="仿宋_GB2312" w:hAnsi="仿宋_GB2312" w:eastAsia="仿宋_GB2312"/>
          <w:sz w:val="32"/>
        </w:rPr>
        <w:t>（3）负责编排新节目，挖掘、整理少数民族传统节目，组织文化艺术人才需求预测，制定文化艺术人才培养和在职教育的规划。</w:t>
      </w:r>
    </w:p>
    <w:p w14:paraId="24BD441C">
      <w:pPr>
        <w:spacing w:line="580" w:lineRule="exact"/>
        <w:ind w:firstLine="640"/>
        <w:jc w:val="both"/>
      </w:pPr>
      <w:r>
        <w:rPr>
          <w:rFonts w:ascii="仿宋_GB2312" w:hAnsi="仿宋_GB2312" w:eastAsia="仿宋_GB2312"/>
          <w:sz w:val="32"/>
        </w:rPr>
        <w:t>（4）研究制定阿克陶县歌舞团的建设措施、发展战略规划、计划，指导和协调民族歌舞团事业。</w:t>
      </w:r>
    </w:p>
    <w:p w14:paraId="700E0C64">
      <w:pPr>
        <w:spacing w:line="640" w:lineRule="exact"/>
        <w:ind w:firstLine="640"/>
        <w:jc w:val="both"/>
        <w:outlineLvl w:val="2"/>
      </w:pPr>
      <w:r>
        <w:rPr>
          <w:rFonts w:ascii="黑体" w:hAnsi="黑体" w:eastAsia="黑体"/>
          <w:sz w:val="32"/>
        </w:rPr>
        <w:t>二、机构设置及人员情况</w:t>
      </w:r>
    </w:p>
    <w:p w14:paraId="6D4C67B2">
      <w:pPr>
        <w:spacing w:line="580" w:lineRule="exact"/>
        <w:ind w:firstLine="640"/>
        <w:jc w:val="both"/>
      </w:pPr>
      <w:r>
        <w:rPr>
          <w:rFonts w:ascii="仿宋_GB2312" w:hAnsi="仿宋_GB2312" w:eastAsia="仿宋_GB2312"/>
          <w:sz w:val="32"/>
        </w:rPr>
        <w:t>新疆阿克陶县文工团2024年度，实有人数55人，其中：在职人员38人，减少1人；离休人员0人，增加0人；退休人员17人,增加1人。</w:t>
      </w:r>
    </w:p>
    <w:p w14:paraId="22BD25FC">
      <w:pPr>
        <w:spacing w:line="580" w:lineRule="exact"/>
        <w:ind w:firstLine="640"/>
        <w:jc w:val="both"/>
      </w:pPr>
      <w:r>
        <w:rPr>
          <w:rFonts w:ascii="仿宋_GB2312" w:hAnsi="仿宋_GB2312" w:eastAsia="仿宋_GB2312"/>
          <w:sz w:val="32"/>
        </w:rPr>
        <w:t>新疆阿克陶县文工团无下属预算单位，下设1个科室，分别是：办公室。</w:t>
      </w:r>
    </w:p>
    <w:p w14:paraId="2856D250">
      <w:r>
        <w:br w:type="page"/>
      </w:r>
    </w:p>
    <w:p w14:paraId="018EC65A">
      <w:pPr>
        <w:spacing w:line="240" w:lineRule="auto"/>
        <w:jc w:val="center"/>
        <w:outlineLvl w:val="1"/>
      </w:pPr>
      <w:r>
        <w:rPr>
          <w:rFonts w:ascii="黑体" w:hAnsi="黑体" w:eastAsia="黑体"/>
          <w:sz w:val="32"/>
        </w:rPr>
        <w:t>第二部分 部门决算情况说明</w:t>
      </w:r>
    </w:p>
    <w:p w14:paraId="2170C82A">
      <w:pPr>
        <w:spacing w:line="640" w:lineRule="exact"/>
        <w:ind w:firstLine="640"/>
        <w:jc w:val="both"/>
        <w:outlineLvl w:val="2"/>
      </w:pPr>
      <w:r>
        <w:rPr>
          <w:rFonts w:ascii="黑体" w:hAnsi="黑体" w:eastAsia="黑体"/>
          <w:sz w:val="32"/>
        </w:rPr>
        <w:t>一、收入支出决算总体情况说明</w:t>
      </w:r>
    </w:p>
    <w:p w14:paraId="1D1F9BC1">
      <w:pPr>
        <w:spacing w:line="580" w:lineRule="exact"/>
        <w:ind w:firstLine="640"/>
        <w:jc w:val="both"/>
      </w:pPr>
      <w:r>
        <w:rPr>
          <w:rFonts w:ascii="仿宋_GB2312" w:hAnsi="仿宋_GB2312" w:eastAsia="仿宋_GB2312"/>
          <w:b/>
          <w:sz w:val="32"/>
        </w:rPr>
        <w:t>2024年度收入总计853.38万元，</w:t>
      </w:r>
      <w:r>
        <w:rPr>
          <w:rFonts w:ascii="仿宋_GB2312" w:hAnsi="仿宋_GB2312" w:eastAsia="仿宋_GB2312"/>
          <w:b w:val="0"/>
          <w:sz w:val="32"/>
        </w:rPr>
        <w:t>其中：本年收入合计853.38万元，使用非财政拨款结余（含专用结余）0.00万元，年初结转和结余0.00万元。</w:t>
      </w:r>
    </w:p>
    <w:p w14:paraId="08131AB3">
      <w:pPr>
        <w:spacing w:line="580" w:lineRule="exact"/>
        <w:ind w:firstLine="640"/>
        <w:jc w:val="both"/>
      </w:pPr>
      <w:r>
        <w:rPr>
          <w:rFonts w:ascii="仿宋_GB2312" w:hAnsi="仿宋_GB2312" w:eastAsia="仿宋_GB2312"/>
          <w:b/>
          <w:sz w:val="32"/>
        </w:rPr>
        <w:t>2024年度支出总计853.38万元，</w:t>
      </w:r>
      <w:r>
        <w:rPr>
          <w:rFonts w:ascii="仿宋_GB2312" w:hAnsi="仿宋_GB2312" w:eastAsia="仿宋_GB2312"/>
          <w:b w:val="0"/>
          <w:sz w:val="32"/>
        </w:rPr>
        <w:t>其中：本年支出合计853.38万元，结余分配0.00万元，年末结转和结余0.00万元。</w:t>
      </w:r>
    </w:p>
    <w:p w14:paraId="0AE36F1C">
      <w:pPr>
        <w:spacing w:line="580" w:lineRule="exact"/>
        <w:ind w:firstLine="640"/>
        <w:jc w:val="both"/>
      </w:pPr>
      <w:r>
        <w:rPr>
          <w:rFonts w:ascii="仿宋_GB2312" w:hAnsi="仿宋_GB2312" w:eastAsia="仿宋_GB2312"/>
          <w:b w:val="0"/>
          <w:sz w:val="32"/>
        </w:rPr>
        <w:t>收入支出总体与上年相比，增加31.00万元，增长3.77%，主要原因是：本年在职人员工资调增，社保、公积金基数调增，人员经费增加，增加2024年公益性岗位演员下乡演出补助（县级）、2024年中央补助地方公共文化（戏曲进乡村）等项目经费，导致相关经费增加。</w:t>
      </w:r>
    </w:p>
    <w:p w14:paraId="3A4A19ED">
      <w:pPr>
        <w:spacing w:line="640" w:lineRule="exact"/>
        <w:ind w:firstLine="640"/>
        <w:jc w:val="both"/>
        <w:outlineLvl w:val="2"/>
      </w:pPr>
      <w:r>
        <w:rPr>
          <w:rFonts w:ascii="黑体" w:hAnsi="黑体" w:eastAsia="黑体"/>
          <w:sz w:val="32"/>
        </w:rPr>
        <w:t>二、收入决算情况说明</w:t>
      </w:r>
    </w:p>
    <w:p w14:paraId="3273E877">
      <w:pPr>
        <w:spacing w:line="580" w:lineRule="exact"/>
        <w:ind w:firstLine="640"/>
        <w:jc w:val="both"/>
      </w:pPr>
      <w:r>
        <w:rPr>
          <w:rFonts w:ascii="仿宋_GB2312" w:hAnsi="仿宋_GB2312" w:eastAsia="仿宋_GB2312"/>
          <w:b/>
          <w:sz w:val="32"/>
        </w:rPr>
        <w:t>本年收入853.38万元，</w:t>
      </w:r>
      <w:r>
        <w:rPr>
          <w:rFonts w:ascii="仿宋_GB2312" w:hAnsi="仿宋_GB2312" w:eastAsia="仿宋_GB2312"/>
          <w:b w:val="0"/>
          <w:sz w:val="32"/>
        </w:rPr>
        <w:t>其中：财政拨款收入852.68万元，占99.92%；上级补助收入0.00万元，占0.00%；事业收入0.00万元，占0.00%；经营收入0.00万元，占0.00%；附属单位上缴收入0.00万元，占0.00%；其他收入0.70万元，占0.08%。</w:t>
      </w:r>
    </w:p>
    <w:p w14:paraId="4B232A82">
      <w:pPr>
        <w:spacing w:line="640" w:lineRule="exact"/>
        <w:ind w:firstLine="640"/>
        <w:jc w:val="both"/>
        <w:outlineLvl w:val="2"/>
      </w:pPr>
      <w:r>
        <w:rPr>
          <w:rFonts w:ascii="黑体" w:hAnsi="黑体" w:eastAsia="黑体"/>
          <w:sz w:val="32"/>
        </w:rPr>
        <w:t>三、支出决算情况说明</w:t>
      </w:r>
    </w:p>
    <w:p w14:paraId="50F28093">
      <w:pPr>
        <w:spacing w:line="580" w:lineRule="exact"/>
        <w:ind w:firstLine="640"/>
        <w:jc w:val="both"/>
      </w:pPr>
      <w:r>
        <w:rPr>
          <w:rFonts w:ascii="仿宋_GB2312" w:hAnsi="仿宋_GB2312" w:eastAsia="仿宋_GB2312"/>
          <w:b/>
          <w:sz w:val="32"/>
        </w:rPr>
        <w:t>本年支出853.38万元，</w:t>
      </w:r>
      <w:r>
        <w:rPr>
          <w:rFonts w:ascii="仿宋_GB2312" w:hAnsi="仿宋_GB2312" w:eastAsia="仿宋_GB2312"/>
          <w:b w:val="0"/>
          <w:sz w:val="32"/>
        </w:rPr>
        <w:t>其中：基本支出785.34万元，占92.03%；项目支出68.04万元，占7.97%；上缴上级支出0.00万元，占0.00%；经营支出0.00万元，占0.00%；对附属单位补助支出0.00万元，占0.00%。</w:t>
      </w:r>
    </w:p>
    <w:p w14:paraId="18938CB5">
      <w:pPr>
        <w:spacing w:line="640" w:lineRule="exact"/>
        <w:ind w:firstLine="640"/>
        <w:jc w:val="both"/>
        <w:outlineLvl w:val="2"/>
      </w:pPr>
      <w:r>
        <w:rPr>
          <w:rFonts w:ascii="黑体" w:hAnsi="黑体" w:eastAsia="黑体"/>
          <w:sz w:val="32"/>
        </w:rPr>
        <w:t>四、财政拨款收入支出决算总体情况说明</w:t>
      </w:r>
    </w:p>
    <w:p w14:paraId="0403C66F">
      <w:pPr>
        <w:spacing w:line="580" w:lineRule="exact"/>
        <w:ind w:firstLine="640"/>
        <w:jc w:val="both"/>
      </w:pPr>
      <w:r>
        <w:rPr>
          <w:rFonts w:ascii="仿宋_GB2312" w:hAnsi="仿宋_GB2312" w:eastAsia="仿宋_GB2312"/>
          <w:b/>
          <w:sz w:val="32"/>
        </w:rPr>
        <w:t>2024年度财政拨款收入总计852.68万元，</w:t>
      </w:r>
      <w:r>
        <w:rPr>
          <w:rFonts w:ascii="仿宋_GB2312" w:hAnsi="仿宋_GB2312" w:eastAsia="仿宋_GB2312"/>
          <w:b w:val="0"/>
          <w:sz w:val="32"/>
        </w:rPr>
        <w:t>其中：年初财政拨款结转和结余0.00万元，本年财政拨款收入852.68万元。</w:t>
      </w:r>
      <w:r>
        <w:rPr>
          <w:rFonts w:ascii="仿宋_GB2312" w:hAnsi="仿宋_GB2312" w:eastAsia="仿宋_GB2312"/>
          <w:b/>
          <w:sz w:val="32"/>
        </w:rPr>
        <w:t>财政拨款支出总计852.68万元，</w:t>
      </w:r>
      <w:r>
        <w:rPr>
          <w:rFonts w:ascii="仿宋_GB2312" w:hAnsi="仿宋_GB2312" w:eastAsia="仿宋_GB2312"/>
          <w:b w:val="0"/>
          <w:sz w:val="32"/>
        </w:rPr>
        <w:t>其中：年末财政拨款结转和结余0.00万元，本年财政拨款支出852.68万元。</w:t>
      </w:r>
    </w:p>
    <w:p w14:paraId="56AA90F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30.30万元，增长3.68%，主要原因是：本年在职人员工资调增，社保、公积金基数调增，人员经费增加，增加2024年公益性岗位演员下乡演出补助（县级）、2024年中央补助地方公共文化（戏曲进乡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年初预算数853.06万元，决算数852.68万元，预决算差异率-0.04%，主要原因是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本年在职人员减少，年中调减人员经费，导致预决算存在差异。</w:t>
      </w:r>
    </w:p>
    <w:p w14:paraId="7CF8ACCE">
      <w:pPr>
        <w:spacing w:line="640" w:lineRule="exact"/>
        <w:ind w:firstLine="640"/>
        <w:jc w:val="both"/>
        <w:outlineLvl w:val="2"/>
      </w:pPr>
      <w:r>
        <w:rPr>
          <w:rFonts w:ascii="黑体" w:hAnsi="黑体" w:eastAsia="黑体"/>
          <w:sz w:val="32"/>
        </w:rPr>
        <w:t>五、一般公共预算财政拨款支出决算情况说明</w:t>
      </w:r>
    </w:p>
    <w:p w14:paraId="56CCBF76">
      <w:pPr>
        <w:spacing w:line="640" w:lineRule="exact"/>
        <w:ind w:firstLine="640"/>
        <w:jc w:val="both"/>
        <w:outlineLvl w:val="3"/>
      </w:pPr>
      <w:r>
        <w:rPr>
          <w:rFonts w:ascii="楷体_GB2312" w:hAnsi="楷体_GB2312" w:eastAsia="楷体_GB2312"/>
          <w:b/>
          <w:sz w:val="32"/>
        </w:rPr>
        <w:t>（一）一般公共预算财政拨款支出决算总体情况</w:t>
      </w:r>
    </w:p>
    <w:p w14:paraId="5A9F8965">
      <w:pPr>
        <w:spacing w:line="580" w:lineRule="exact"/>
        <w:ind w:firstLine="640"/>
        <w:jc w:val="both"/>
      </w:pPr>
      <w:r>
        <w:rPr>
          <w:rFonts w:ascii="仿宋_GB2312" w:hAnsi="仿宋_GB2312" w:eastAsia="仿宋_GB2312"/>
          <w:b/>
          <w:sz w:val="32"/>
        </w:rPr>
        <w:t>2024年度一般公共预算财政拨款支出852.68万元，</w:t>
      </w:r>
      <w:r>
        <w:rPr>
          <w:rFonts w:ascii="仿宋_GB2312" w:hAnsi="仿宋_GB2312" w:eastAsia="仿宋_GB2312"/>
          <w:b w:val="0"/>
          <w:sz w:val="32"/>
        </w:rPr>
        <w:t>占本年支出合计的99.92%。</w:t>
      </w:r>
      <w:r>
        <w:rPr>
          <w:rFonts w:ascii="仿宋_GB2312" w:hAnsi="仿宋_GB2312" w:eastAsia="仿宋_GB2312"/>
          <w:b/>
          <w:sz w:val="32"/>
        </w:rPr>
        <w:t>与上年相比，</w:t>
      </w:r>
      <w:r>
        <w:rPr>
          <w:rFonts w:ascii="仿宋_GB2312" w:hAnsi="仿宋_GB2312" w:eastAsia="仿宋_GB2312"/>
          <w:b w:val="0"/>
          <w:sz w:val="32"/>
        </w:rPr>
        <w:t>增加30.30万元，增长3.68%，主要原因是：本年在职人员工资调增，社保、公积金基数调增，人员经费增加，增加2024年公益性岗位演员下乡演出补助（县级）、2024年中央补助地方公共文化（戏曲进乡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年初预算数853.06万元，决算数852.68万元，预决算差异率-0.04%，主要原因是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本年在职人员减少，年中调减人员经费，导致预决算存在差异。</w:t>
      </w:r>
    </w:p>
    <w:p w14:paraId="07A00053">
      <w:pPr>
        <w:spacing w:line="640" w:lineRule="exact"/>
        <w:ind w:firstLine="640"/>
        <w:jc w:val="both"/>
        <w:outlineLvl w:val="3"/>
      </w:pPr>
      <w:r>
        <w:rPr>
          <w:rFonts w:ascii="楷体_GB2312" w:hAnsi="楷体_GB2312" w:eastAsia="楷体_GB2312"/>
          <w:b/>
          <w:sz w:val="32"/>
        </w:rPr>
        <w:t>（二）一般公共预算财政拨款支出决算结构情况</w:t>
      </w:r>
    </w:p>
    <w:p w14:paraId="2E19D68E">
      <w:pPr>
        <w:spacing w:line="580" w:lineRule="exact"/>
        <w:ind w:firstLine="640"/>
        <w:jc w:val="both"/>
      </w:pPr>
      <w:r>
        <w:rPr>
          <w:rFonts w:ascii="仿宋_GB2312" w:hAnsi="仿宋_GB2312" w:eastAsia="仿宋_GB2312"/>
          <w:b w:val="0"/>
          <w:sz w:val="32"/>
        </w:rPr>
        <w:t>1.文化旅游体育与传媒支出(类)659.65万元,占77.36%。</w:t>
      </w:r>
    </w:p>
    <w:p w14:paraId="0B2F9251">
      <w:pPr>
        <w:spacing w:line="580" w:lineRule="exact"/>
        <w:ind w:firstLine="640"/>
        <w:jc w:val="both"/>
      </w:pPr>
      <w:r>
        <w:rPr>
          <w:rFonts w:ascii="仿宋_GB2312" w:hAnsi="仿宋_GB2312" w:eastAsia="仿宋_GB2312"/>
          <w:b w:val="0"/>
          <w:sz w:val="32"/>
        </w:rPr>
        <w:t>2.社会保障和就业支出(类)101.08万元,占11.85%。</w:t>
      </w:r>
    </w:p>
    <w:p w14:paraId="516A87E3">
      <w:pPr>
        <w:spacing w:line="580" w:lineRule="exact"/>
        <w:ind w:firstLine="640"/>
        <w:jc w:val="both"/>
      </w:pPr>
      <w:r>
        <w:rPr>
          <w:rFonts w:ascii="仿宋_GB2312" w:hAnsi="仿宋_GB2312" w:eastAsia="仿宋_GB2312"/>
          <w:b w:val="0"/>
          <w:sz w:val="32"/>
        </w:rPr>
        <w:t>3.卫生健康支出(类)27.51万元,占3.23%。</w:t>
      </w:r>
    </w:p>
    <w:p w14:paraId="2F102838">
      <w:pPr>
        <w:spacing w:line="580" w:lineRule="exact"/>
        <w:ind w:firstLine="640"/>
        <w:jc w:val="both"/>
      </w:pPr>
      <w:r>
        <w:rPr>
          <w:rFonts w:ascii="仿宋_GB2312" w:hAnsi="仿宋_GB2312" w:eastAsia="仿宋_GB2312"/>
          <w:b w:val="0"/>
          <w:sz w:val="32"/>
        </w:rPr>
        <w:t>4.住房保障支出(类)64.43万元,占7.56%。</w:t>
      </w:r>
    </w:p>
    <w:p w14:paraId="3893A12B">
      <w:pPr>
        <w:spacing w:line="640" w:lineRule="exact"/>
        <w:ind w:firstLine="640"/>
        <w:jc w:val="both"/>
        <w:outlineLvl w:val="3"/>
      </w:pPr>
      <w:r>
        <w:rPr>
          <w:rFonts w:ascii="楷体_GB2312" w:hAnsi="楷体_GB2312" w:eastAsia="楷体_GB2312"/>
          <w:b/>
          <w:sz w:val="32"/>
        </w:rPr>
        <w:t>（三）一般公共预算财政拨款支出决算具体情况</w:t>
      </w:r>
    </w:p>
    <w:p w14:paraId="36111838">
      <w:pPr>
        <w:spacing w:line="580" w:lineRule="exact"/>
        <w:ind w:firstLine="640"/>
        <w:jc w:val="both"/>
      </w:pPr>
      <w:r>
        <w:rPr>
          <w:rFonts w:ascii="仿宋_GB2312" w:hAnsi="仿宋_GB2312" w:eastAsia="仿宋_GB2312"/>
          <w:b w:val="0"/>
          <w:sz w:val="32"/>
        </w:rPr>
        <w:t>1.文化旅游体育与传媒支出(类)文化和旅游(款)艺术表演团体(项):支出决算数为583.19万元，比上年决算减少51.14万元，下降8.06%,主要原因是：本年减少办公费、专用材料费</w:t>
      </w:r>
      <w:r>
        <w:rPr>
          <w:rFonts w:hint="eastAsia" w:ascii="仿宋_GB2312" w:hAnsi="仿宋_GB2312" w:eastAsia="仿宋_GB2312"/>
          <w:b w:val="0"/>
          <w:sz w:val="32"/>
          <w:lang w:eastAsia="zh-CN"/>
        </w:rPr>
        <w:t>、手续费、</w:t>
      </w:r>
      <w:r>
        <w:rPr>
          <w:rFonts w:hint="eastAsia" w:ascii="仿宋_GB2312" w:hAnsi="仿宋_GB2312" w:eastAsia="仿宋_GB2312"/>
          <w:b w:val="0"/>
          <w:sz w:val="32"/>
          <w:lang w:val="en-US" w:eastAsia="zh-CN"/>
        </w:rPr>
        <w:t>印刷费</w:t>
      </w:r>
      <w:r>
        <w:rPr>
          <w:rFonts w:ascii="仿宋_GB2312" w:hAnsi="仿宋_GB2312" w:eastAsia="仿宋_GB2312"/>
          <w:b w:val="0"/>
          <w:sz w:val="32"/>
        </w:rPr>
        <w:t>等经费，导致相关经费减少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本年在职人员减少，相关经费减少</w:t>
      </w:r>
      <w:r>
        <w:rPr>
          <w:rFonts w:ascii="仿宋_GB2312" w:hAnsi="仿宋_GB2312" w:eastAsia="仿宋_GB2312"/>
          <w:b w:val="0"/>
          <w:sz w:val="32"/>
        </w:rPr>
        <w:t>。</w:t>
      </w:r>
    </w:p>
    <w:p w14:paraId="3C1E73A7">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75.33万元，比上年决算增加74.63万元，增长10,661.43%,主要原因是：本年增加2024年公益性岗位演员下乡演出补助（县级）、2024年中央补助地方公共文化（戏曲进乡村）等项目经费，导致相关经费增加。</w:t>
      </w:r>
    </w:p>
    <w:p w14:paraId="0862F5CF">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1.13万元，比上年决算减少22.84万元，下降95.29%,主要原因是：本年度减少2023年中央公共文化服务体系建设资金，导致相关经费减少。</w:t>
      </w:r>
    </w:p>
    <w:p w14:paraId="679347A3">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4.社会保障和就业支出(类)行政事业单位养老支出(款)事业单位离退休(项):支出决算数为19.56万元，比上年决算增加3.67万元，增长23.10%,主要原因是：本年增加退休人员基础绩效奖，退休费支出增加。</w:t>
      </w:r>
    </w:p>
    <w:p w14:paraId="6B900D4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81.52万元，比上年决算增加13.61万元，增长20.04%,主要原因是：本年在职人员工资基数调增，养老缴费基数上涨，相应支出增加。</w:t>
      </w:r>
    </w:p>
    <w:p w14:paraId="6AE3E9B1">
      <w:pPr>
        <w:spacing w:line="580" w:lineRule="exact"/>
        <w:ind w:firstLine="640"/>
        <w:jc w:val="both"/>
      </w:pPr>
      <w:r>
        <w:rPr>
          <w:rFonts w:ascii="仿宋_GB2312" w:hAnsi="仿宋_GB2312" w:eastAsia="仿宋_GB2312"/>
          <w:b w:val="0"/>
          <w:sz w:val="32"/>
        </w:rPr>
        <w:t>6.卫生健康支出(类)行政事业单位医疗(款)事业单位医疗(项):支出决算数为27.51万元，比上年决算增加3.24万元，增长13.35%,主要原因是：本年在职人员工资基数调增，医疗缴费基数上涨，相应支出增加。</w:t>
      </w:r>
    </w:p>
    <w:p w14:paraId="04135720">
      <w:pPr>
        <w:spacing w:line="580" w:lineRule="exact"/>
        <w:ind w:firstLine="640"/>
        <w:jc w:val="both"/>
      </w:pPr>
      <w:r>
        <w:rPr>
          <w:rFonts w:ascii="仿宋_GB2312" w:hAnsi="仿宋_GB2312" w:eastAsia="仿宋_GB2312"/>
          <w:b w:val="0"/>
          <w:sz w:val="32"/>
        </w:rPr>
        <w:t>7.住房保障支出(类)住房改革支出(款)住房公积金(项):支出决算数为64.43万元，比上年决算增加9.12万元，增长16.49%,主要原因是：本年在职人员工资基数调增，公积金缴费基数上涨，相应支出增加。</w:t>
      </w:r>
    </w:p>
    <w:p w14:paraId="3990FBEE">
      <w:pPr>
        <w:spacing w:line="640" w:lineRule="exact"/>
        <w:ind w:firstLine="640"/>
        <w:jc w:val="both"/>
        <w:outlineLvl w:val="2"/>
      </w:pPr>
      <w:r>
        <w:rPr>
          <w:rFonts w:ascii="黑体" w:hAnsi="黑体" w:eastAsia="黑体"/>
          <w:sz w:val="32"/>
        </w:rPr>
        <w:t>六、一般公共预算财政拨款基本支出决算情况说明</w:t>
      </w:r>
    </w:p>
    <w:p w14:paraId="132A7A7E">
      <w:pPr>
        <w:spacing w:line="580" w:lineRule="exact"/>
        <w:ind w:firstLine="640"/>
        <w:jc w:val="both"/>
      </w:pPr>
      <w:r>
        <w:rPr>
          <w:rFonts w:ascii="仿宋_GB2312" w:hAnsi="仿宋_GB2312" w:eastAsia="仿宋_GB2312"/>
          <w:b w:val="0"/>
          <w:sz w:val="32"/>
        </w:rPr>
        <w:t>2024年度一般公共预算财政拨款基本支出785.34万元，其中：</w:t>
      </w:r>
      <w:r>
        <w:rPr>
          <w:rFonts w:ascii="仿宋_GB2312" w:hAnsi="仿宋_GB2312" w:eastAsia="仿宋_GB2312"/>
          <w:b/>
          <w:sz w:val="32"/>
        </w:rPr>
        <w:t>人员经费783.14万元，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277486BC">
      <w:pPr>
        <w:spacing w:line="580" w:lineRule="exact"/>
        <w:ind w:firstLine="640"/>
        <w:jc w:val="both"/>
      </w:pPr>
      <w:r>
        <w:rPr>
          <w:rFonts w:ascii="仿宋_GB2312" w:hAnsi="仿宋_GB2312" w:eastAsia="仿宋_GB2312"/>
          <w:b/>
          <w:sz w:val="32"/>
        </w:rPr>
        <w:t>公用经费2.20万元，</w:t>
      </w:r>
      <w:r>
        <w:rPr>
          <w:rFonts w:ascii="仿宋_GB2312" w:hAnsi="仿宋_GB2312" w:eastAsia="仿宋_GB2312"/>
          <w:b w:val="0"/>
          <w:sz w:val="32"/>
        </w:rPr>
        <w:t>包括：办公费、邮电费、维修（护）费。</w:t>
      </w:r>
    </w:p>
    <w:p w14:paraId="5DECC05C">
      <w:pPr>
        <w:spacing w:line="640" w:lineRule="exact"/>
        <w:ind w:firstLine="640"/>
        <w:jc w:val="both"/>
        <w:outlineLvl w:val="2"/>
      </w:pPr>
      <w:r>
        <w:rPr>
          <w:rFonts w:ascii="黑体" w:hAnsi="黑体" w:eastAsia="黑体"/>
          <w:sz w:val="32"/>
        </w:rPr>
        <w:t>七、政府性基金预算财政拨款收入支出决算情况说明</w:t>
      </w:r>
    </w:p>
    <w:p w14:paraId="3B2CCF2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7E41362">
      <w:pPr>
        <w:spacing w:line="640" w:lineRule="exact"/>
        <w:ind w:firstLine="640"/>
        <w:jc w:val="both"/>
        <w:outlineLvl w:val="2"/>
      </w:pPr>
      <w:r>
        <w:rPr>
          <w:rFonts w:ascii="黑体" w:hAnsi="黑体" w:eastAsia="黑体"/>
          <w:sz w:val="32"/>
        </w:rPr>
        <w:t>八、国有资本经营预算财政拨款收入支出决算情况说明</w:t>
      </w:r>
    </w:p>
    <w:p w14:paraId="69363D4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F3FA21">
      <w:pPr>
        <w:spacing w:line="640" w:lineRule="exact"/>
        <w:ind w:firstLine="640"/>
        <w:jc w:val="both"/>
        <w:outlineLvl w:val="2"/>
      </w:pPr>
      <w:r>
        <w:rPr>
          <w:rFonts w:ascii="黑体" w:hAnsi="黑体" w:eastAsia="黑体"/>
          <w:sz w:val="32"/>
        </w:rPr>
        <w:t>九、财政拨款“三公”经费支出决算情况说明</w:t>
      </w:r>
    </w:p>
    <w:p w14:paraId="13002F0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4.88万元，下降100.00%，主要原因是：2024年未安排财政拨款“三公”经费。其中：因公出国（境）费支出0.00万元，占0.00%，比上年增加0.00万元，增长0.00%，主要原因是：2023年与2024年均未安排因公出国（境）费支出。公务用车购置及运行维护费支出0.00万元，占0.00%，比上年减少4.88万元，下降100.00%，主要原因是：本年本单位公务用车购置及运行维护费。公务接待费支出0.00万元，占0.00%，比上年增加0.00万元，增长0.00%，主要原因是：2023年与2024年均未安排公务接待费支出。</w:t>
      </w:r>
    </w:p>
    <w:p w14:paraId="7835F823">
      <w:pPr>
        <w:spacing w:line="580" w:lineRule="exact"/>
        <w:ind w:firstLine="640"/>
        <w:jc w:val="both"/>
      </w:pPr>
      <w:r>
        <w:rPr>
          <w:rFonts w:ascii="仿宋_GB2312" w:hAnsi="仿宋_GB2312" w:eastAsia="仿宋_GB2312"/>
          <w:b/>
          <w:sz w:val="32"/>
        </w:rPr>
        <w:t>具体情况如下：</w:t>
      </w:r>
    </w:p>
    <w:p w14:paraId="10CE08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35A13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4569824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C13CB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9F68D60">
      <w:pPr>
        <w:spacing w:line="640" w:lineRule="exact"/>
        <w:ind w:firstLine="640"/>
        <w:jc w:val="both"/>
        <w:outlineLvl w:val="2"/>
      </w:pPr>
      <w:r>
        <w:rPr>
          <w:rFonts w:ascii="黑体" w:hAnsi="黑体" w:eastAsia="黑体"/>
          <w:sz w:val="32"/>
        </w:rPr>
        <w:t>十、其他重要事项的情况说明</w:t>
      </w:r>
    </w:p>
    <w:p w14:paraId="0F8FBB6E">
      <w:pPr>
        <w:spacing w:line="640" w:lineRule="exact"/>
        <w:ind w:firstLine="640"/>
        <w:jc w:val="both"/>
        <w:outlineLvl w:val="3"/>
      </w:pPr>
      <w:r>
        <w:rPr>
          <w:rFonts w:ascii="楷体_GB2312" w:hAnsi="楷体_GB2312" w:eastAsia="楷体_GB2312"/>
          <w:b/>
          <w:sz w:val="32"/>
        </w:rPr>
        <w:t>（一）机关运行经费及公用经费支出情况</w:t>
      </w:r>
    </w:p>
    <w:p w14:paraId="2337C066">
      <w:pPr>
        <w:spacing w:line="580" w:lineRule="exact"/>
        <w:ind w:firstLine="640"/>
        <w:jc w:val="both"/>
      </w:pPr>
      <w:r>
        <w:rPr>
          <w:rFonts w:ascii="仿宋_GB2312" w:hAnsi="仿宋_GB2312" w:eastAsia="仿宋_GB2312"/>
          <w:b w:val="0"/>
          <w:sz w:val="32"/>
        </w:rPr>
        <w:t>2024年度新疆阿克陶县文工团（事业单位）公用经费支出2.20万元，比上年减少2</w:t>
      </w:r>
      <w:bookmarkStart w:id="0" w:name="_GoBack"/>
      <w:r>
        <w:rPr>
          <w:rFonts w:ascii="仿宋_GB2312" w:hAnsi="仿宋_GB2312" w:eastAsia="仿宋_GB2312"/>
          <w:b w:val="0"/>
          <w:sz w:val="32"/>
        </w:rPr>
        <w:t>5.19万元，下降91.97%，主要原因是：本年减少办公费、专用材料费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印刷费、手续费</w:t>
      </w:r>
      <w:r>
        <w:rPr>
          <w:rFonts w:ascii="仿宋_GB2312" w:hAnsi="仿宋_GB2312" w:eastAsia="仿宋_GB2312"/>
          <w:b w:val="0"/>
          <w:sz w:val="32"/>
        </w:rPr>
        <w:t>等经费，导致公用经费减少。</w:t>
      </w:r>
    </w:p>
    <w:bookmarkEnd w:id="0"/>
    <w:p w14:paraId="79E226D7">
      <w:pPr>
        <w:spacing w:line="640" w:lineRule="exact"/>
        <w:ind w:firstLine="640"/>
        <w:jc w:val="both"/>
        <w:outlineLvl w:val="3"/>
      </w:pPr>
      <w:r>
        <w:rPr>
          <w:rFonts w:ascii="楷体_GB2312" w:hAnsi="楷体_GB2312" w:eastAsia="楷体_GB2312"/>
          <w:b/>
          <w:sz w:val="32"/>
        </w:rPr>
        <w:t>（二）政府采购情况</w:t>
      </w:r>
    </w:p>
    <w:p w14:paraId="18E2E91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DE2E3A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1CC4470">
      <w:pPr>
        <w:spacing w:line="640" w:lineRule="exact"/>
        <w:ind w:firstLine="640"/>
        <w:jc w:val="both"/>
        <w:outlineLvl w:val="3"/>
      </w:pPr>
      <w:r>
        <w:rPr>
          <w:rFonts w:ascii="楷体_GB2312" w:hAnsi="楷体_GB2312" w:eastAsia="楷体_GB2312"/>
          <w:b/>
          <w:sz w:val="32"/>
        </w:rPr>
        <w:t>（三）国有资产占用情况说明</w:t>
      </w:r>
    </w:p>
    <w:p w14:paraId="07B74950">
      <w:pPr>
        <w:spacing w:line="580" w:lineRule="exact"/>
        <w:ind w:firstLine="640"/>
        <w:jc w:val="both"/>
      </w:pPr>
      <w:r>
        <w:rPr>
          <w:rFonts w:ascii="仿宋_GB2312" w:hAnsi="仿宋_GB2312" w:eastAsia="仿宋_GB2312"/>
          <w:b w:val="0"/>
          <w:sz w:val="32"/>
        </w:rPr>
        <w:t>截至2024年12月31日，房屋0.00平方米，价值0.00万元。车辆1辆，价值36.60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754DBFCE">
      <w:pPr>
        <w:spacing w:line="640" w:lineRule="exact"/>
        <w:ind w:firstLine="640"/>
        <w:jc w:val="both"/>
        <w:outlineLvl w:val="2"/>
      </w:pPr>
      <w:r>
        <w:rPr>
          <w:rFonts w:ascii="黑体" w:hAnsi="黑体" w:eastAsia="黑体"/>
          <w:sz w:val="32"/>
        </w:rPr>
        <w:t>十一、预算绩效的情况说明</w:t>
      </w:r>
    </w:p>
    <w:p w14:paraId="7B5655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853.38万元，实际执行总额853.38万元；预算绩效评价项目3个，全年预算数38.10万元，全年执行数37.40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462FA6D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B3196FD">
        <w:tblPrEx>
          <w:tblCellMar>
            <w:top w:w="0" w:type="dxa"/>
            <w:left w:w="108" w:type="dxa"/>
            <w:bottom w:w="0" w:type="dxa"/>
            <w:right w:w="108" w:type="dxa"/>
          </w:tblCellMar>
        </w:tblPrEx>
        <w:tc>
          <w:tcPr>
            <w:tcW w:w="8840" w:type="dxa"/>
            <w:gridSpan w:val="8"/>
            <w:vAlign w:val="center"/>
          </w:tcPr>
          <w:p w14:paraId="0A3B764F">
            <w:pPr>
              <w:jc w:val="center"/>
            </w:pPr>
            <w:r>
              <w:rPr>
                <w:rFonts w:ascii="宋体" w:hAnsi="宋体" w:eastAsia="宋体"/>
                <w:sz w:val="24"/>
              </w:rPr>
              <w:t>单位整体支出绩效自评表</w:t>
            </w:r>
          </w:p>
        </w:tc>
      </w:tr>
      <w:tr w14:paraId="7FE2E54E">
        <w:tblPrEx>
          <w:tblCellMar>
            <w:top w:w="0" w:type="dxa"/>
            <w:left w:w="108" w:type="dxa"/>
            <w:bottom w:w="0" w:type="dxa"/>
            <w:right w:w="108" w:type="dxa"/>
          </w:tblCellMar>
        </w:tblPrEx>
        <w:tc>
          <w:tcPr>
            <w:tcW w:w="8840" w:type="dxa"/>
            <w:gridSpan w:val="8"/>
            <w:vAlign w:val="center"/>
          </w:tcPr>
          <w:p w14:paraId="7E1AFFC2">
            <w:pPr>
              <w:jc w:val="center"/>
            </w:pPr>
            <w:r>
              <w:rPr>
                <w:rFonts w:ascii="宋体" w:hAnsi="宋体" w:eastAsia="宋体"/>
                <w:sz w:val="24"/>
              </w:rPr>
              <w:t>（2024年度）</w:t>
            </w:r>
          </w:p>
        </w:tc>
      </w:tr>
      <w:tr w14:paraId="2C1C03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799E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4453E">
            <w:pPr>
              <w:jc w:val="center"/>
            </w:pPr>
            <w:r>
              <w:rPr>
                <w:rFonts w:ascii="宋体" w:hAnsi="宋体" w:eastAsia="宋体"/>
                <w:sz w:val="16"/>
              </w:rPr>
              <w:t>新疆阿克陶县文工团</w:t>
            </w:r>
          </w:p>
        </w:tc>
      </w:tr>
      <w:tr w14:paraId="7A390D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C309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2CD7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7C88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B286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0438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8635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94D7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AEDDF">
            <w:pPr>
              <w:jc w:val="center"/>
            </w:pPr>
            <w:r>
              <w:rPr>
                <w:rFonts w:ascii="宋体" w:hAnsi="宋体" w:eastAsia="宋体"/>
                <w:sz w:val="16"/>
              </w:rPr>
              <w:t>得分</w:t>
            </w:r>
          </w:p>
        </w:tc>
      </w:tr>
      <w:tr w14:paraId="462AB8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87F4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0471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6BD27">
            <w:pPr>
              <w:jc w:val="center"/>
            </w:pPr>
            <w:r>
              <w:rPr>
                <w:rFonts w:ascii="宋体" w:hAnsi="宋体" w:eastAsia="宋体"/>
                <w:sz w:val="16"/>
              </w:rPr>
              <w:t>844.54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878C3">
            <w:pPr>
              <w:jc w:val="center"/>
            </w:pPr>
            <w:r>
              <w:rPr>
                <w:rFonts w:ascii="宋体" w:hAnsi="宋体" w:eastAsia="宋体"/>
                <w:sz w:val="16"/>
              </w:rPr>
              <w:t>853.38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C2AB3">
            <w:pPr>
              <w:jc w:val="center"/>
            </w:pPr>
            <w:r>
              <w:rPr>
                <w:rFonts w:ascii="宋体" w:hAnsi="宋体" w:eastAsia="宋体"/>
                <w:sz w:val="16"/>
              </w:rPr>
              <w:t>853.38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CCC1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36A47">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0E324">
            <w:pPr>
              <w:jc w:val="center"/>
            </w:pPr>
            <w:r>
              <w:rPr>
                <w:rFonts w:ascii="宋体" w:hAnsi="宋体" w:eastAsia="宋体"/>
                <w:sz w:val="16"/>
              </w:rPr>
              <w:t>10</w:t>
            </w:r>
          </w:p>
        </w:tc>
      </w:tr>
      <w:tr w14:paraId="3F7C67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4B18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452A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4580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A679E">
            <w:pPr>
              <w:jc w:val="center"/>
            </w:pPr>
            <w:r>
              <w:rPr>
                <w:rFonts w:ascii="宋体" w:hAnsi="宋体" w:eastAsia="宋体"/>
                <w:sz w:val="16"/>
              </w:rPr>
              <w:t>29.94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DAC83">
            <w:pPr>
              <w:jc w:val="center"/>
            </w:pPr>
            <w:r>
              <w:rPr>
                <w:rFonts w:ascii="宋体" w:hAnsi="宋体" w:eastAsia="宋体"/>
                <w:sz w:val="16"/>
              </w:rPr>
              <w:t>29.94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A13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3E4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7AAA0">
            <w:pPr>
              <w:jc w:val="center"/>
            </w:pPr>
            <w:r>
              <w:rPr>
                <w:rFonts w:ascii="宋体" w:hAnsi="宋体" w:eastAsia="宋体"/>
                <w:sz w:val="16"/>
              </w:rPr>
              <w:t>—</w:t>
            </w:r>
          </w:p>
        </w:tc>
      </w:tr>
      <w:tr w14:paraId="7C0683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2810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2B6F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95617">
            <w:pPr>
              <w:jc w:val="center"/>
            </w:pPr>
            <w:r>
              <w:rPr>
                <w:rFonts w:ascii="宋体" w:hAnsi="宋体" w:eastAsia="宋体"/>
                <w:sz w:val="16"/>
              </w:rPr>
              <w:t>844.54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6A690">
            <w:pPr>
              <w:jc w:val="center"/>
            </w:pPr>
            <w:r>
              <w:rPr>
                <w:rFonts w:ascii="宋体" w:hAnsi="宋体" w:eastAsia="宋体"/>
                <w:sz w:val="16"/>
              </w:rPr>
              <w:t>823.44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18E31">
            <w:pPr>
              <w:jc w:val="center"/>
            </w:pPr>
            <w:r>
              <w:rPr>
                <w:rFonts w:ascii="宋体" w:hAnsi="宋体" w:eastAsia="宋体"/>
                <w:sz w:val="16"/>
              </w:rPr>
              <w:t>823.44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E2A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04D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7A42A">
            <w:pPr>
              <w:jc w:val="center"/>
            </w:pPr>
            <w:r>
              <w:rPr>
                <w:rFonts w:ascii="宋体" w:hAnsi="宋体" w:eastAsia="宋体"/>
                <w:sz w:val="16"/>
              </w:rPr>
              <w:t>—</w:t>
            </w:r>
          </w:p>
        </w:tc>
      </w:tr>
      <w:tr w14:paraId="6C1222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CF99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3B7E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B7B4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5E49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881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452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742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FF35A">
            <w:pPr>
              <w:jc w:val="center"/>
            </w:pPr>
            <w:r>
              <w:rPr>
                <w:rFonts w:ascii="宋体" w:hAnsi="宋体" w:eastAsia="宋体"/>
                <w:sz w:val="16"/>
              </w:rPr>
              <w:t>—</w:t>
            </w:r>
          </w:p>
        </w:tc>
      </w:tr>
      <w:tr w14:paraId="30EF17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1B54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E9018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359360">
            <w:pPr>
              <w:jc w:val="center"/>
            </w:pPr>
            <w:r>
              <w:rPr>
                <w:rFonts w:ascii="宋体" w:hAnsi="宋体" w:eastAsia="宋体"/>
                <w:sz w:val="16"/>
              </w:rPr>
              <w:t>实际完成情况</w:t>
            </w:r>
          </w:p>
        </w:tc>
      </w:tr>
      <w:tr w14:paraId="61CFEA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C2F5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8149ED">
            <w:pPr>
              <w:jc w:val="both"/>
            </w:pPr>
            <w:r>
              <w:rPr>
                <w:rFonts w:ascii="宋体" w:hAnsi="宋体" w:eastAsia="宋体"/>
                <w:sz w:val="16"/>
              </w:rPr>
              <w:t>确保在职人员的工资、津贴、补贴、社保、医保、公积金以及离退休人员的工资、医疗费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F856A3">
            <w:pPr>
              <w:jc w:val="both"/>
            </w:pPr>
            <w:r>
              <w:rPr>
                <w:rFonts w:ascii="宋体" w:hAnsi="宋体" w:eastAsia="宋体"/>
                <w:sz w:val="16"/>
              </w:rPr>
              <w:t>在职人员的工资、津贴、补贴、社保、医保、公积金以及离退休人员的工资、医疗费等人员保障性经费依规、按时、足额发放或缴纳，提升了部门人员工作积极性和服务质量；保障了部门日常运转</w:t>
            </w:r>
            <w:r>
              <w:rPr>
                <w:rFonts w:hint="eastAsia" w:ascii="宋体" w:hAnsi="宋体"/>
                <w:sz w:val="16"/>
                <w:lang w:eastAsia="zh-CN"/>
              </w:rPr>
              <w:t>，为</w:t>
            </w:r>
            <w:r>
              <w:rPr>
                <w:rFonts w:ascii="宋体" w:hAnsi="宋体" w:eastAsia="宋体"/>
                <w:sz w:val="16"/>
              </w:rPr>
              <w:t>部门正常履职和开展综合性事务管理提供了有效支撑，确保了冬季取暖费、车辆维护费等公用保障性经费按照财政安排和相关工作做到及时支出。</w:t>
            </w:r>
          </w:p>
        </w:tc>
      </w:tr>
      <w:tr w14:paraId="60A4E0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9702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850B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F1F8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628D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6C2F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54BA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758B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B16F9">
            <w:pPr>
              <w:jc w:val="center"/>
            </w:pPr>
            <w:r>
              <w:rPr>
                <w:rFonts w:ascii="宋体" w:hAnsi="宋体" w:eastAsia="宋体"/>
                <w:sz w:val="16"/>
              </w:rPr>
              <w:t>得分</w:t>
            </w:r>
          </w:p>
        </w:tc>
      </w:tr>
      <w:tr w14:paraId="1940F0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1793F">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FB26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40C0A">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3ABA7">
            <w:pPr>
              <w:jc w:val="center"/>
            </w:pPr>
            <w:r>
              <w:rPr>
                <w:rFonts w:ascii="宋体" w:hAnsi="宋体" w:eastAsia="宋体"/>
                <w:sz w:val="16"/>
              </w:rPr>
              <w:t>&gt;=55人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3D864">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9C52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ABEC0">
            <w:pPr>
              <w:jc w:val="center"/>
            </w:pPr>
            <w:r>
              <w:rPr>
                <w:rFonts w:ascii="宋体" w:hAnsi="宋体" w:eastAsia="宋体"/>
                <w:sz w:val="16"/>
              </w:rPr>
              <w:t>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73FB3">
            <w:pPr>
              <w:jc w:val="center"/>
            </w:pPr>
            <w:r>
              <w:rPr>
                <w:rFonts w:ascii="宋体" w:hAnsi="宋体" w:eastAsia="宋体"/>
                <w:sz w:val="16"/>
              </w:rPr>
              <w:t>8</w:t>
            </w:r>
          </w:p>
        </w:tc>
      </w:tr>
      <w:tr w14:paraId="218F5C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D4C6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1182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84089">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D9AEA">
            <w:pPr>
              <w:jc w:val="center"/>
            </w:pPr>
            <w:r>
              <w:rPr>
                <w:rFonts w:ascii="宋体" w:hAnsi="宋体" w:eastAsia="宋体"/>
                <w:sz w:val="16"/>
              </w:rPr>
              <w:t>&lt;=786.28万元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B1E1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D8ED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CEDCB">
            <w:pPr>
              <w:jc w:val="center"/>
            </w:pPr>
            <w:r>
              <w:rPr>
                <w:rFonts w:ascii="宋体" w:hAnsi="宋体" w:eastAsia="宋体"/>
                <w:sz w:val="16"/>
              </w:rPr>
              <w:t>783.14万元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065B9">
            <w:pPr>
              <w:jc w:val="center"/>
            </w:pPr>
            <w:r>
              <w:rPr>
                <w:rFonts w:ascii="宋体" w:hAnsi="宋体" w:eastAsia="宋体"/>
                <w:sz w:val="16"/>
              </w:rPr>
              <w:t>9.96</w:t>
            </w:r>
          </w:p>
        </w:tc>
      </w:tr>
      <w:tr w14:paraId="0E6033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2243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878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D69A3">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A63CE">
            <w:pPr>
              <w:jc w:val="center"/>
            </w:pPr>
            <w:r>
              <w:rPr>
                <w:rFonts w:ascii="宋体" w:hAnsi="宋体" w:eastAsia="宋体"/>
                <w:sz w:val="16"/>
              </w:rPr>
              <w:t>=20.16万元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2434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104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DB668">
            <w:pPr>
              <w:jc w:val="center"/>
            </w:pPr>
            <w:r>
              <w:rPr>
                <w:rFonts w:ascii="宋体" w:hAnsi="宋体" w:eastAsia="宋体"/>
                <w:sz w:val="16"/>
              </w:rPr>
              <w:t>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C529B">
            <w:pPr>
              <w:jc w:val="center"/>
            </w:pPr>
            <w:r>
              <w:rPr>
                <w:rFonts w:ascii="宋体" w:hAnsi="宋体" w:eastAsia="宋体"/>
                <w:sz w:val="16"/>
              </w:rPr>
              <w:t>0</w:t>
            </w:r>
          </w:p>
        </w:tc>
      </w:tr>
      <w:tr w14:paraId="3C984E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AF1E9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D558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E9558">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47824">
            <w:pPr>
              <w:jc w:val="center"/>
            </w:pPr>
            <w:r>
              <w:rPr>
                <w:rFonts w:ascii="宋体" w:hAnsi="宋体" w:eastAsia="宋体"/>
                <w:sz w:val="16"/>
              </w:rPr>
              <w:t>&lt;=38.10万元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158C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2D3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B75E4">
            <w:pPr>
              <w:jc w:val="center"/>
            </w:pPr>
            <w:r>
              <w:rPr>
                <w:rFonts w:ascii="宋体" w:hAnsi="宋体" w:eastAsia="宋体"/>
                <w:sz w:val="16"/>
              </w:rPr>
              <w:t>68.04万元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F6BCB">
            <w:pPr>
              <w:jc w:val="center"/>
            </w:pPr>
            <w:r>
              <w:rPr>
                <w:rFonts w:ascii="宋体" w:hAnsi="宋体" w:eastAsia="宋体"/>
                <w:sz w:val="16"/>
              </w:rPr>
              <w:t>5.6</w:t>
            </w:r>
          </w:p>
        </w:tc>
      </w:tr>
      <w:tr w14:paraId="5137DA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F6D5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23EF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B0F91">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7DBD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1A4C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30D2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022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77420">
            <w:pPr>
              <w:jc w:val="center"/>
            </w:pPr>
            <w:r>
              <w:rPr>
                <w:rFonts w:ascii="宋体" w:hAnsi="宋体" w:eastAsia="宋体"/>
                <w:sz w:val="16"/>
              </w:rPr>
              <w:t>8</w:t>
            </w:r>
          </w:p>
        </w:tc>
      </w:tr>
      <w:tr w14:paraId="3BA19F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9F8E5">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2049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D7A58">
            <w:pPr>
              <w:jc w:val="center"/>
            </w:pPr>
            <w:r>
              <w:rPr>
                <w:rFonts w:ascii="宋体" w:hAnsi="宋体" w:eastAsia="宋体"/>
                <w:sz w:val="16"/>
              </w:rPr>
              <w:t>惠民活动完成率（%）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363C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BE37C">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9634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6C907">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71B35">
            <w:pPr>
              <w:jc w:val="center"/>
            </w:pPr>
            <w:r>
              <w:rPr>
                <w:rFonts w:ascii="宋体" w:hAnsi="宋体" w:eastAsia="宋体"/>
                <w:sz w:val="16"/>
              </w:rPr>
              <w:t>8</w:t>
            </w:r>
          </w:p>
        </w:tc>
      </w:tr>
      <w:tr w14:paraId="46B1CB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6B0A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1A2A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7B406">
            <w:pPr>
              <w:jc w:val="center"/>
            </w:pPr>
            <w:r>
              <w:rPr>
                <w:rFonts w:ascii="宋体" w:hAnsi="宋体" w:eastAsia="宋体"/>
                <w:sz w:val="16"/>
              </w:rPr>
              <w:t>组织木卡姆·达斯坦传承活动（次/年）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3D7C7">
            <w:pPr>
              <w:jc w:val="center"/>
            </w:pPr>
            <w:r>
              <w:rPr>
                <w:rFonts w:ascii="宋体" w:hAnsi="宋体" w:eastAsia="宋体"/>
                <w:sz w:val="16"/>
              </w:rPr>
              <w:t>&gt;=6次/年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8427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E82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1C0F8">
            <w:pPr>
              <w:jc w:val="center"/>
            </w:pPr>
            <w:r>
              <w:rPr>
                <w:rFonts w:ascii="宋体" w:hAnsi="宋体" w:eastAsia="宋体"/>
                <w:sz w:val="16"/>
              </w:rPr>
              <w:t>6次/年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2CECA">
            <w:pPr>
              <w:jc w:val="center"/>
            </w:pPr>
            <w:r>
              <w:rPr>
                <w:rFonts w:ascii="宋体" w:hAnsi="宋体" w:eastAsia="宋体"/>
                <w:sz w:val="16"/>
              </w:rPr>
              <w:t>10</w:t>
            </w:r>
          </w:p>
        </w:tc>
      </w:tr>
      <w:tr w14:paraId="753F8E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2780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0ECE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F75D9">
            <w:pPr>
              <w:jc w:val="center"/>
            </w:pPr>
            <w:r>
              <w:rPr>
                <w:rFonts w:ascii="宋体" w:hAnsi="宋体" w:eastAsia="宋体"/>
                <w:sz w:val="16"/>
              </w:rPr>
              <w:t>优秀约隆传承人数量（人）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1B55A">
            <w:pPr>
              <w:jc w:val="center"/>
            </w:pPr>
            <w:r>
              <w:rPr>
                <w:rFonts w:ascii="宋体" w:hAnsi="宋体" w:eastAsia="宋体"/>
                <w:sz w:val="16"/>
              </w:rPr>
              <w:t>&gt;=4人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FC38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A5AB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AA4D0">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645D6">
            <w:pPr>
              <w:jc w:val="center"/>
            </w:pPr>
            <w:r>
              <w:rPr>
                <w:rFonts w:ascii="宋体" w:hAnsi="宋体" w:eastAsia="宋体"/>
                <w:sz w:val="16"/>
              </w:rPr>
              <w:t>4</w:t>
            </w:r>
          </w:p>
        </w:tc>
      </w:tr>
      <w:tr w14:paraId="4F8A7FD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B4A4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2452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4CEA7">
            <w:pPr>
              <w:jc w:val="center"/>
            </w:pPr>
            <w:r>
              <w:rPr>
                <w:rFonts w:ascii="宋体" w:hAnsi="宋体" w:eastAsia="宋体"/>
                <w:sz w:val="16"/>
              </w:rPr>
              <w:t>保障部门单位正常履职和各项政策措施有效实施</w:t>
            </w:r>
            <w:r>
              <w:rPr>
                <w:rFonts w:ascii="宋体" w:hAnsi="宋体" w:eastAsia="宋体"/>
                <w:sz w:val="16"/>
              </w:rPr>
              <w:tab/>
            </w: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A472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3C161">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1AD9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2859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82074">
            <w:pPr>
              <w:jc w:val="center"/>
            </w:pPr>
            <w:r>
              <w:rPr>
                <w:rFonts w:ascii="宋体" w:hAnsi="宋体" w:eastAsia="宋体"/>
                <w:sz w:val="16"/>
              </w:rPr>
              <w:t>8</w:t>
            </w:r>
          </w:p>
        </w:tc>
      </w:tr>
      <w:tr w14:paraId="3033DB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B487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4B64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2A890">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B69E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BD71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55A9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FFBA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5EC8A">
            <w:pPr>
              <w:jc w:val="center"/>
            </w:pPr>
            <w:r>
              <w:rPr>
                <w:rFonts w:ascii="宋体" w:hAnsi="宋体" w:eastAsia="宋体"/>
                <w:sz w:val="16"/>
              </w:rPr>
              <w:t>5</w:t>
            </w:r>
          </w:p>
        </w:tc>
      </w:tr>
      <w:tr w14:paraId="50C82D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DF8F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1157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2995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721B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33C6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345A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3EE6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210CF">
            <w:pPr>
              <w:jc w:val="center"/>
            </w:pPr>
            <w:r>
              <w:rPr>
                <w:rFonts w:ascii="宋体" w:hAnsi="宋体" w:eastAsia="宋体"/>
                <w:sz w:val="16"/>
              </w:rPr>
              <w:t>5</w:t>
            </w:r>
          </w:p>
        </w:tc>
      </w:tr>
    </w:tbl>
    <w:p w14:paraId="6F33069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6C5A5DDF">
        <w:tblPrEx>
          <w:tblCellMar>
            <w:top w:w="0" w:type="dxa"/>
            <w:left w:w="108" w:type="dxa"/>
            <w:bottom w:w="0" w:type="dxa"/>
            <w:right w:w="108" w:type="dxa"/>
          </w:tblCellMar>
        </w:tblPrEx>
        <w:tc>
          <w:tcPr>
            <w:tcW w:w="8848" w:type="dxa"/>
            <w:gridSpan w:val="14"/>
            <w:vAlign w:val="center"/>
          </w:tcPr>
          <w:p w14:paraId="6DAD9F85">
            <w:pPr>
              <w:jc w:val="center"/>
            </w:pPr>
            <w:r>
              <w:rPr>
                <w:rFonts w:ascii="宋体" w:hAnsi="宋体" w:eastAsia="宋体"/>
                <w:sz w:val="24"/>
              </w:rPr>
              <w:t>项目支出绩效自评表</w:t>
            </w:r>
          </w:p>
        </w:tc>
      </w:tr>
      <w:tr w14:paraId="1C59AA98">
        <w:tblPrEx>
          <w:tblCellMar>
            <w:top w:w="0" w:type="dxa"/>
            <w:left w:w="108" w:type="dxa"/>
            <w:bottom w:w="0" w:type="dxa"/>
            <w:right w:w="108" w:type="dxa"/>
          </w:tblCellMar>
        </w:tblPrEx>
        <w:tc>
          <w:tcPr>
            <w:tcW w:w="8848" w:type="dxa"/>
            <w:gridSpan w:val="14"/>
            <w:vAlign w:val="center"/>
          </w:tcPr>
          <w:p w14:paraId="6A62C323">
            <w:pPr>
              <w:jc w:val="center"/>
            </w:pPr>
            <w:r>
              <w:rPr>
                <w:rFonts w:ascii="宋体" w:hAnsi="宋体" w:eastAsia="宋体"/>
                <w:sz w:val="24"/>
              </w:rPr>
              <w:t>(2024年度)</w:t>
            </w:r>
          </w:p>
        </w:tc>
      </w:tr>
      <w:tr w14:paraId="6523C8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96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5E14FC">
            <w:pPr>
              <w:jc w:val="center"/>
            </w:pPr>
            <w:r>
              <w:rPr>
                <w:rFonts w:ascii="宋体" w:hAnsi="宋体" w:eastAsia="宋体"/>
                <w:sz w:val="16"/>
              </w:rPr>
              <w:t>2024年公益性岗位演员下乡演出补助（县级）</w:t>
            </w:r>
          </w:p>
        </w:tc>
      </w:tr>
      <w:tr w14:paraId="356296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B3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78004">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22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75619">
            <w:pPr>
              <w:jc w:val="center"/>
            </w:pPr>
            <w:r>
              <w:rPr>
                <w:rFonts w:ascii="宋体" w:hAnsi="宋体" w:eastAsia="宋体"/>
                <w:sz w:val="16"/>
              </w:rPr>
              <w:t>新疆阿克陶县文工团</w:t>
            </w:r>
          </w:p>
        </w:tc>
      </w:tr>
      <w:tr w14:paraId="4491F5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2BE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DBA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891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6D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C8A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89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657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33DB">
            <w:pPr>
              <w:jc w:val="center"/>
            </w:pPr>
            <w:r>
              <w:rPr>
                <w:rFonts w:ascii="宋体" w:hAnsi="宋体" w:eastAsia="宋体"/>
                <w:sz w:val="16"/>
              </w:rPr>
              <w:t>得分</w:t>
            </w:r>
          </w:p>
        </w:tc>
      </w:tr>
      <w:tr w14:paraId="285FE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E7D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B9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9DF6A">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ACB87">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011D">
            <w:pPr>
              <w:jc w:val="center"/>
            </w:pPr>
            <w:r>
              <w:rPr>
                <w:rFonts w:ascii="宋体" w:hAnsi="宋体" w:eastAsia="宋体"/>
                <w:sz w:val="16"/>
              </w:rPr>
              <w:t>28.40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773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5E05F">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CEE3">
            <w:pPr>
              <w:jc w:val="center"/>
            </w:pPr>
            <w:r>
              <w:rPr>
                <w:rFonts w:ascii="宋体" w:hAnsi="宋体" w:eastAsia="宋体"/>
                <w:sz w:val="16"/>
              </w:rPr>
              <w:t>9.90分</w:t>
            </w:r>
          </w:p>
        </w:tc>
      </w:tr>
      <w:tr w14:paraId="2F947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F64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2E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02E6">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977E0">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7212F">
            <w:pPr>
              <w:jc w:val="center"/>
            </w:pPr>
            <w:r>
              <w:rPr>
                <w:rFonts w:ascii="宋体" w:hAnsi="宋体" w:eastAsia="宋体"/>
                <w:sz w:val="16"/>
              </w:rPr>
              <w:t>28.40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002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E22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D651">
            <w:pPr>
              <w:jc w:val="center"/>
            </w:pPr>
            <w:r>
              <w:rPr>
                <w:rFonts w:ascii="宋体" w:hAnsi="宋体" w:eastAsia="宋体"/>
                <w:sz w:val="16"/>
              </w:rPr>
              <w:t>—</w:t>
            </w:r>
          </w:p>
        </w:tc>
      </w:tr>
      <w:tr w14:paraId="37A48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D3E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23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19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458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E8F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8BA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F8D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AD85">
            <w:pPr>
              <w:jc w:val="center"/>
            </w:pPr>
            <w:r>
              <w:rPr>
                <w:rFonts w:ascii="宋体" w:hAnsi="宋体" w:eastAsia="宋体"/>
                <w:sz w:val="16"/>
              </w:rPr>
              <w:t>—</w:t>
            </w:r>
          </w:p>
        </w:tc>
      </w:tr>
      <w:tr w14:paraId="2A8514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4A9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A20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60EDF9">
            <w:pPr>
              <w:jc w:val="center"/>
            </w:pPr>
            <w:r>
              <w:rPr>
                <w:rFonts w:ascii="宋体" w:hAnsi="宋体" w:eastAsia="宋体"/>
                <w:sz w:val="16"/>
              </w:rPr>
              <w:t>实际完成情况</w:t>
            </w:r>
          </w:p>
        </w:tc>
      </w:tr>
      <w:tr w14:paraId="0B434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34E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3EFC5">
            <w:pPr>
              <w:jc w:val="both"/>
            </w:pPr>
            <w:r>
              <w:rPr>
                <w:rFonts w:ascii="宋体" w:hAnsi="宋体" w:eastAsia="宋体"/>
                <w:sz w:val="16"/>
              </w:rPr>
              <w:t>该项目资金用于30名公益性岗位演员下乡演出补助，保障每年演出场次不低于150场，通过该项目的实施，充分发挥文化小分队在群众中的良好基础，弘扬优秀非物质文化，开展群众喜闻乐见的文化活动，丰富各族群众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39777B">
            <w:pPr>
              <w:jc w:val="both"/>
            </w:pPr>
            <w:r>
              <w:rPr>
                <w:rFonts w:ascii="宋体" w:hAnsi="宋体" w:eastAsia="宋体"/>
                <w:sz w:val="16"/>
              </w:rPr>
              <w:t>该项目已实施完毕，资金用于30名公益性岗位演员下乡演出补助，保障了每年演出场次不低于150场，通过该项目的实施，充分发挥了文化小分队在群众中的良好基础，弘扬优秀非物质文化，开展群众喜闻乐见的文化活动，丰富了各族群众精神文化生活。</w:t>
            </w:r>
          </w:p>
        </w:tc>
      </w:tr>
      <w:tr w14:paraId="225D72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DA5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CC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21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2B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A8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E5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99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45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65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4D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73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DE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8DA24">
            <w:pPr>
              <w:jc w:val="center"/>
            </w:pPr>
            <w:r>
              <w:rPr>
                <w:rFonts w:ascii="宋体" w:hAnsi="宋体" w:eastAsia="宋体"/>
                <w:sz w:val="16"/>
              </w:rPr>
              <w:t>偏差原因分析及改进措施</w:t>
            </w:r>
          </w:p>
        </w:tc>
      </w:tr>
      <w:tr w14:paraId="04A5B9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434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42A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1DE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C769">
            <w:pPr>
              <w:jc w:val="center"/>
            </w:pPr>
            <w:r>
              <w:rPr>
                <w:rFonts w:ascii="宋体" w:hAnsi="宋体" w:eastAsia="宋体"/>
                <w:sz w:val="16"/>
              </w:rPr>
              <w:t>公益性岗位演员数量（人）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9C46">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B1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8217">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2F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13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87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B7B0">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F9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B211">
            <w:pPr>
              <w:jc w:val="center"/>
            </w:pPr>
          </w:p>
        </w:tc>
      </w:tr>
      <w:tr w14:paraId="1D0C5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45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0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24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1033">
            <w:pPr>
              <w:jc w:val="center"/>
            </w:pPr>
            <w:r>
              <w:rPr>
                <w:rFonts w:ascii="宋体" w:hAnsi="宋体" w:eastAsia="宋体"/>
                <w:sz w:val="16"/>
              </w:rPr>
              <w:t>下乡演出场次（场）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A2FA">
            <w:pPr>
              <w:jc w:val="center"/>
            </w:pPr>
            <w:r>
              <w:rPr>
                <w:rFonts w:ascii="宋体" w:hAnsi="宋体" w:eastAsia="宋体"/>
                <w:sz w:val="16"/>
              </w:rPr>
              <w:t>&gt;=150场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1B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8E37">
            <w:pPr>
              <w:jc w:val="center"/>
            </w:pPr>
            <w:r>
              <w:rPr>
                <w:rFonts w:ascii="宋体" w:hAnsi="宋体" w:eastAsia="宋体"/>
                <w:sz w:val="16"/>
              </w:rPr>
              <w:t>=150场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FA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9A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B6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7B0A">
            <w:pPr>
              <w:jc w:val="center"/>
            </w:pPr>
            <w:r>
              <w:rPr>
                <w:rFonts w:ascii="宋体" w:hAnsi="宋体" w:eastAsia="宋体"/>
                <w:sz w:val="16"/>
              </w:rPr>
              <w:t>=151场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2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6678B">
            <w:pPr>
              <w:jc w:val="center"/>
            </w:pPr>
          </w:p>
        </w:tc>
      </w:tr>
      <w:tr w14:paraId="5E57C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FA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53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72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5290">
            <w:pPr>
              <w:jc w:val="center"/>
            </w:pPr>
            <w:r>
              <w:rPr>
                <w:rFonts w:ascii="宋体" w:hAnsi="宋体" w:eastAsia="宋体"/>
                <w:sz w:val="16"/>
              </w:rPr>
              <w:t>公益性岗位演员下乡演出完成率（%）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56D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F7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5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9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E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1C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2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81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584D">
            <w:pPr>
              <w:jc w:val="center"/>
            </w:pPr>
          </w:p>
        </w:tc>
      </w:tr>
      <w:tr w14:paraId="7AD87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B4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DC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77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E3D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67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EF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4C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64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5F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1F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7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78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C65A">
            <w:pPr>
              <w:jc w:val="center"/>
            </w:pPr>
          </w:p>
        </w:tc>
      </w:tr>
      <w:tr w14:paraId="11A58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F7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AA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70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D94F">
            <w:pPr>
              <w:jc w:val="center"/>
            </w:pPr>
            <w:r>
              <w:rPr>
                <w:rFonts w:ascii="宋体" w:hAnsi="宋体" w:eastAsia="宋体"/>
                <w:sz w:val="16"/>
              </w:rPr>
              <w:t>演员下乡演出补助费（万元）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04C3">
            <w:pPr>
              <w:jc w:val="center"/>
            </w:pPr>
            <w:r>
              <w:rPr>
                <w:rFonts w:ascii="宋体" w:hAnsi="宋体" w:eastAsia="宋体"/>
                <w:sz w:val="16"/>
              </w:rPr>
              <w:t>&lt;=28.50万元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2C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F6B2">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93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8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23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802C">
            <w:pPr>
              <w:jc w:val="center"/>
            </w:pPr>
            <w:r>
              <w:rPr>
                <w:rFonts w:ascii="宋体" w:hAnsi="宋体" w:eastAsia="宋体"/>
                <w:sz w:val="16"/>
              </w:rPr>
              <w:t>=28.4万元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6E0A">
            <w:pPr>
              <w:jc w:val="center"/>
            </w:pPr>
            <w:r>
              <w:rPr>
                <w:rFonts w:ascii="宋体" w:hAnsi="宋体" w:eastAsia="宋体"/>
                <w:sz w:val="16"/>
              </w:rPr>
              <w:t>19.83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7E856">
            <w:pPr>
              <w:jc w:val="center"/>
            </w:pPr>
            <w:r>
              <w:rPr>
                <w:rFonts w:ascii="宋体" w:hAnsi="宋体" w:eastAsia="宋体"/>
                <w:sz w:val="16"/>
              </w:rPr>
              <w:t>结余资金已上缴国库</w:t>
            </w:r>
          </w:p>
        </w:tc>
      </w:tr>
      <w:tr w14:paraId="710FC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03C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ADB9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3C8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5D05">
            <w:pPr>
              <w:jc w:val="center"/>
            </w:pPr>
            <w:r>
              <w:rPr>
                <w:rFonts w:ascii="宋体" w:hAnsi="宋体" w:eastAsia="宋体"/>
                <w:sz w:val="16"/>
              </w:rPr>
              <w:t>弘扬中华传统文化情况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B3F9">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18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19B6">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A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C3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E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172A">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58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BA03">
            <w:pPr>
              <w:jc w:val="center"/>
            </w:pPr>
          </w:p>
        </w:tc>
      </w:tr>
      <w:tr w14:paraId="69125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62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36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5D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3A1D">
            <w:pPr>
              <w:jc w:val="center"/>
            </w:pPr>
            <w:r>
              <w:rPr>
                <w:rFonts w:ascii="宋体" w:hAnsi="宋体" w:eastAsia="宋体"/>
                <w:sz w:val="16"/>
              </w:rPr>
              <w:t>提升占领文化阵地引领群众文明生活力度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03F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3B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07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45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4C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B8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1E0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58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5A75D">
            <w:pPr>
              <w:jc w:val="center"/>
            </w:pPr>
          </w:p>
        </w:tc>
      </w:tr>
      <w:tr w14:paraId="67516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77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98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1C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5D9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45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1E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0FE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3B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8C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E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77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B2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5A44">
            <w:pPr>
              <w:jc w:val="center"/>
            </w:pPr>
          </w:p>
        </w:tc>
      </w:tr>
      <w:tr w14:paraId="4BA73E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A66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D9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9B9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C095">
            <w:pPr>
              <w:jc w:val="center"/>
            </w:pPr>
            <w:r>
              <w:rPr>
                <w:rFonts w:ascii="宋体" w:hAnsi="宋体" w:eastAsia="宋体"/>
                <w:sz w:val="16"/>
              </w:rPr>
              <w:t>99.73分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CB5C83"/>
        </w:tc>
      </w:tr>
    </w:tbl>
    <w:p w14:paraId="1FC17F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E09ABC5">
        <w:tblPrEx>
          <w:tblCellMar>
            <w:top w:w="0" w:type="dxa"/>
            <w:left w:w="108" w:type="dxa"/>
            <w:bottom w:w="0" w:type="dxa"/>
            <w:right w:w="108" w:type="dxa"/>
          </w:tblCellMar>
        </w:tblPrEx>
        <w:tc>
          <w:tcPr>
            <w:tcW w:w="8848" w:type="dxa"/>
            <w:gridSpan w:val="14"/>
            <w:vAlign w:val="center"/>
          </w:tcPr>
          <w:p w14:paraId="20AB10C7">
            <w:pPr>
              <w:jc w:val="center"/>
            </w:pPr>
            <w:r>
              <w:rPr>
                <w:rFonts w:ascii="宋体" w:hAnsi="宋体" w:eastAsia="宋体"/>
                <w:sz w:val="24"/>
              </w:rPr>
              <w:t>项目支出绩效自评表</w:t>
            </w:r>
          </w:p>
        </w:tc>
      </w:tr>
      <w:tr w14:paraId="54B47E61">
        <w:tblPrEx>
          <w:tblCellMar>
            <w:top w:w="0" w:type="dxa"/>
            <w:left w:w="108" w:type="dxa"/>
            <w:bottom w:w="0" w:type="dxa"/>
            <w:right w:w="108" w:type="dxa"/>
          </w:tblCellMar>
        </w:tblPrEx>
        <w:tc>
          <w:tcPr>
            <w:tcW w:w="8848" w:type="dxa"/>
            <w:gridSpan w:val="14"/>
            <w:vAlign w:val="center"/>
          </w:tcPr>
          <w:p w14:paraId="58474EA5">
            <w:pPr>
              <w:jc w:val="center"/>
            </w:pPr>
            <w:r>
              <w:rPr>
                <w:rFonts w:ascii="宋体" w:hAnsi="宋体" w:eastAsia="宋体"/>
                <w:sz w:val="24"/>
              </w:rPr>
              <w:t>(2024年度)</w:t>
            </w:r>
          </w:p>
        </w:tc>
      </w:tr>
      <w:tr w14:paraId="3773BF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19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C42C9C">
            <w:pPr>
              <w:jc w:val="center"/>
            </w:pPr>
            <w:r>
              <w:rPr>
                <w:rFonts w:ascii="宋体" w:hAnsi="宋体" w:eastAsia="宋体"/>
                <w:sz w:val="16"/>
              </w:rPr>
              <w:t>2024年木卡姆·达斯坦民间艺人补助经费（县级）</w:t>
            </w:r>
          </w:p>
        </w:tc>
      </w:tr>
      <w:tr w14:paraId="1C4DBD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FC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48BF9">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73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2DB4C">
            <w:pPr>
              <w:jc w:val="center"/>
            </w:pPr>
            <w:r>
              <w:rPr>
                <w:rFonts w:ascii="宋体" w:hAnsi="宋体" w:eastAsia="宋体"/>
                <w:sz w:val="16"/>
              </w:rPr>
              <w:t>新疆阿克陶县文工团</w:t>
            </w:r>
          </w:p>
        </w:tc>
      </w:tr>
      <w:tr w14:paraId="1C93C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ED3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89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301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07E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B2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D9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64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546E">
            <w:pPr>
              <w:jc w:val="center"/>
            </w:pPr>
            <w:r>
              <w:rPr>
                <w:rFonts w:ascii="宋体" w:hAnsi="宋体" w:eastAsia="宋体"/>
                <w:sz w:val="16"/>
              </w:rPr>
              <w:t>得分</w:t>
            </w:r>
          </w:p>
        </w:tc>
      </w:tr>
      <w:tr w14:paraId="39BEA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9C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7B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35BFE">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55F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8326E">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7EE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BF86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08A0">
            <w:pPr>
              <w:jc w:val="center"/>
            </w:pPr>
            <w:r>
              <w:rPr>
                <w:rFonts w:ascii="宋体" w:hAnsi="宋体" w:eastAsia="宋体"/>
                <w:sz w:val="16"/>
              </w:rPr>
              <w:t>10.00分</w:t>
            </w:r>
          </w:p>
        </w:tc>
      </w:tr>
      <w:tr w14:paraId="162B2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8F6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CF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9F8AF">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130F1">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5F020">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1A7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702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3772">
            <w:pPr>
              <w:jc w:val="center"/>
            </w:pPr>
            <w:r>
              <w:rPr>
                <w:rFonts w:ascii="宋体" w:hAnsi="宋体" w:eastAsia="宋体"/>
                <w:sz w:val="16"/>
              </w:rPr>
              <w:t>—</w:t>
            </w:r>
          </w:p>
        </w:tc>
      </w:tr>
      <w:tr w14:paraId="22F2E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04C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CEB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7E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AB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1E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ED6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693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E69F">
            <w:pPr>
              <w:jc w:val="center"/>
            </w:pPr>
            <w:r>
              <w:rPr>
                <w:rFonts w:ascii="宋体" w:hAnsi="宋体" w:eastAsia="宋体"/>
                <w:sz w:val="16"/>
              </w:rPr>
              <w:t>—</w:t>
            </w:r>
          </w:p>
        </w:tc>
      </w:tr>
      <w:tr w14:paraId="1468E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73B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123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3576E2">
            <w:pPr>
              <w:jc w:val="center"/>
            </w:pPr>
            <w:r>
              <w:rPr>
                <w:rFonts w:ascii="宋体" w:hAnsi="宋体" w:eastAsia="宋体"/>
                <w:sz w:val="16"/>
              </w:rPr>
              <w:t>实际完成情况</w:t>
            </w:r>
          </w:p>
        </w:tc>
      </w:tr>
      <w:tr w14:paraId="740F7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00A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2E7619">
            <w:pPr>
              <w:jc w:val="both"/>
            </w:pPr>
            <w:r>
              <w:rPr>
                <w:rFonts w:ascii="宋体" w:hAnsi="宋体" w:eastAsia="宋体"/>
                <w:sz w:val="16"/>
              </w:rPr>
              <w:t>该项目资金用于4名木卡姆·达斯坦民间艺人活动补助，保障木卡姆·达斯坦传承活动不少于6次，通过该项目的实施，充分发挥木卡姆·达斯坦演唱者在群众中的良好基础，弘扬优秀非物质文化，开展群众喜闻乐见的文化活动，丰富各族群众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4A06EB">
            <w:pPr>
              <w:jc w:val="both"/>
            </w:pPr>
            <w:r>
              <w:rPr>
                <w:rFonts w:ascii="宋体" w:hAnsi="宋体" w:eastAsia="宋体"/>
                <w:sz w:val="16"/>
              </w:rPr>
              <w:t>向阿克陶县木卡姆达斯坦民间艺人发放补助经费，保障艺人生活与创作投入，支持及开展技艺传承活动6次/年，提升木卡姆达斯坦艺术传承活力，扩大其在本地及周边地区的影响力，达到弘扬优秀非物质文化目标。</w:t>
            </w:r>
          </w:p>
        </w:tc>
      </w:tr>
      <w:tr w14:paraId="319B12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AA3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33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12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1A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B5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39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6C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20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55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46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37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6F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F2A13">
            <w:pPr>
              <w:jc w:val="center"/>
            </w:pPr>
            <w:r>
              <w:rPr>
                <w:rFonts w:ascii="宋体" w:hAnsi="宋体" w:eastAsia="宋体"/>
                <w:sz w:val="16"/>
              </w:rPr>
              <w:t>偏差原因分析及改进措施</w:t>
            </w:r>
          </w:p>
        </w:tc>
      </w:tr>
      <w:tr w14:paraId="5C2EF3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A6A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990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9AE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CD40">
            <w:pPr>
              <w:jc w:val="center"/>
            </w:pPr>
            <w:r>
              <w:rPr>
                <w:rFonts w:ascii="宋体" w:hAnsi="宋体" w:eastAsia="宋体"/>
                <w:sz w:val="16"/>
              </w:rPr>
              <w:t>木卡姆·达斯坦民间艺人数量（人）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619A">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EE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F125">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81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C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EA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B7DE">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15D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D071">
            <w:pPr>
              <w:jc w:val="center"/>
            </w:pPr>
            <w:r>
              <w:rPr>
                <w:rFonts w:ascii="宋体" w:hAnsi="宋体" w:eastAsia="宋体"/>
                <w:sz w:val="16"/>
              </w:rPr>
              <w:t>年初目标设置不精准</w:t>
            </w:r>
          </w:p>
        </w:tc>
      </w:tr>
      <w:tr w14:paraId="3BEAD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5C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7F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5C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6600">
            <w:pPr>
              <w:jc w:val="center"/>
            </w:pPr>
            <w:r>
              <w:rPr>
                <w:rFonts w:ascii="宋体" w:hAnsi="宋体" w:eastAsia="宋体"/>
                <w:sz w:val="16"/>
              </w:rPr>
              <w:t>组织木卡姆·达斯坦传承活动（次/年）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D425">
            <w:pPr>
              <w:jc w:val="center"/>
            </w:pPr>
            <w:r>
              <w:rPr>
                <w:rFonts w:ascii="宋体" w:hAnsi="宋体" w:eastAsia="宋体"/>
                <w:sz w:val="16"/>
              </w:rPr>
              <w:t>&gt;=6次/年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36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8C2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94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F4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C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161B">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48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DEFF">
            <w:pPr>
              <w:jc w:val="center"/>
            </w:pPr>
          </w:p>
        </w:tc>
      </w:tr>
      <w:tr w14:paraId="726CC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2D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03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34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E8BE">
            <w:pPr>
              <w:jc w:val="center"/>
            </w:pPr>
            <w:r>
              <w:rPr>
                <w:rFonts w:ascii="宋体" w:hAnsi="宋体" w:eastAsia="宋体"/>
                <w:sz w:val="16"/>
              </w:rPr>
              <w:t>民间艺人参加木卡姆·达斯坦演唱活动（次/年）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E132">
            <w:pPr>
              <w:jc w:val="center"/>
            </w:pPr>
            <w:r>
              <w:rPr>
                <w:rFonts w:ascii="宋体" w:hAnsi="宋体" w:eastAsia="宋体"/>
                <w:sz w:val="16"/>
              </w:rPr>
              <w:t>&gt;=6次/年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E8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D47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F7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5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6E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B4CB">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AD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D4FFC">
            <w:pPr>
              <w:jc w:val="center"/>
            </w:pPr>
          </w:p>
        </w:tc>
      </w:tr>
      <w:tr w14:paraId="7AEBF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D3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5C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DDC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B520">
            <w:pPr>
              <w:jc w:val="center"/>
            </w:pPr>
            <w:r>
              <w:rPr>
                <w:rFonts w:ascii="宋体" w:hAnsi="宋体" w:eastAsia="宋体"/>
                <w:sz w:val="16"/>
              </w:rPr>
              <w:t>组织木卡姆·达斯坦传承活动完成率（%）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C6E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16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3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D8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5F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70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B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AF8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0F8F1">
            <w:pPr>
              <w:jc w:val="center"/>
            </w:pPr>
          </w:p>
        </w:tc>
      </w:tr>
      <w:tr w14:paraId="14407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E0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C8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7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5757">
            <w:pPr>
              <w:jc w:val="center"/>
            </w:pPr>
            <w:r>
              <w:rPr>
                <w:rFonts w:ascii="宋体" w:hAnsi="宋体" w:eastAsia="宋体"/>
                <w:sz w:val="16"/>
              </w:rPr>
              <w:t>民间艺人参加木卡姆·达斯坦演唱活动完成率（%）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6BD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8E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A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69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2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10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51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76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2268">
            <w:pPr>
              <w:jc w:val="center"/>
            </w:pPr>
          </w:p>
        </w:tc>
      </w:tr>
      <w:tr w14:paraId="2E1D2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45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E7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99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CA8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1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07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9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1E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9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E8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7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921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7E747">
            <w:pPr>
              <w:jc w:val="center"/>
            </w:pPr>
          </w:p>
        </w:tc>
      </w:tr>
      <w:tr w14:paraId="43E6B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DC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BD4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DC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DA9F">
            <w:pPr>
              <w:jc w:val="center"/>
            </w:pPr>
            <w:r>
              <w:rPr>
                <w:rFonts w:ascii="宋体" w:hAnsi="宋体" w:eastAsia="宋体"/>
                <w:sz w:val="16"/>
              </w:rPr>
              <w:t>木卡姆·达斯坦民间艺人补助费（万元）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938D">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5F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A62B">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22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1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9B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B1C7">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FF3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482E">
            <w:pPr>
              <w:jc w:val="center"/>
            </w:pPr>
          </w:p>
        </w:tc>
      </w:tr>
      <w:tr w14:paraId="25CA2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5D3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4B14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AE0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D1B2">
            <w:pPr>
              <w:jc w:val="center"/>
            </w:pPr>
            <w:r>
              <w:rPr>
                <w:rFonts w:ascii="宋体" w:hAnsi="宋体" w:eastAsia="宋体"/>
                <w:sz w:val="16"/>
              </w:rPr>
              <w:t>弘扬中华传统文化情况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8F6C">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DD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1819">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9B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A3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21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56DA">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E3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218E5">
            <w:pPr>
              <w:jc w:val="center"/>
            </w:pPr>
          </w:p>
        </w:tc>
      </w:tr>
      <w:tr w14:paraId="1F7C9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4C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87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81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E8E3">
            <w:pPr>
              <w:jc w:val="center"/>
            </w:pPr>
            <w:r>
              <w:rPr>
                <w:rFonts w:ascii="宋体" w:hAnsi="宋体" w:eastAsia="宋体"/>
                <w:sz w:val="16"/>
              </w:rPr>
              <w:t>保护非物质文化遗产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CE4F">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BC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7069">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EF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F9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23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AD82">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A4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A4928">
            <w:pPr>
              <w:jc w:val="center"/>
            </w:pPr>
          </w:p>
        </w:tc>
      </w:tr>
      <w:tr w14:paraId="554EF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D0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A0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6F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64A8">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E3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02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9FC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50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9D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38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E78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AB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2E120">
            <w:pPr>
              <w:jc w:val="center"/>
            </w:pPr>
          </w:p>
        </w:tc>
      </w:tr>
      <w:tr w14:paraId="3796B7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5DA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A6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920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9374">
            <w:pPr>
              <w:jc w:val="center"/>
            </w:pPr>
            <w:r>
              <w:rPr>
                <w:rFonts w:ascii="宋体" w:hAnsi="宋体" w:eastAsia="宋体"/>
                <w:sz w:val="16"/>
              </w:rPr>
              <w:t>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AC4AEC"/>
        </w:tc>
      </w:tr>
    </w:tbl>
    <w:p w14:paraId="5D2F39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B796E8D">
        <w:tblPrEx>
          <w:tblCellMar>
            <w:top w:w="0" w:type="dxa"/>
            <w:left w:w="108" w:type="dxa"/>
            <w:bottom w:w="0" w:type="dxa"/>
            <w:right w:w="108" w:type="dxa"/>
          </w:tblCellMar>
        </w:tblPrEx>
        <w:tc>
          <w:tcPr>
            <w:tcW w:w="8848" w:type="dxa"/>
            <w:gridSpan w:val="14"/>
            <w:vAlign w:val="center"/>
          </w:tcPr>
          <w:p w14:paraId="1226F1C6">
            <w:pPr>
              <w:jc w:val="center"/>
            </w:pPr>
            <w:r>
              <w:rPr>
                <w:rFonts w:ascii="宋体" w:hAnsi="宋体" w:eastAsia="宋体"/>
                <w:sz w:val="24"/>
              </w:rPr>
              <w:t>项目支出绩效自评表</w:t>
            </w:r>
          </w:p>
        </w:tc>
      </w:tr>
      <w:tr w14:paraId="33841983">
        <w:tblPrEx>
          <w:tblCellMar>
            <w:top w:w="0" w:type="dxa"/>
            <w:left w:w="108" w:type="dxa"/>
            <w:bottom w:w="0" w:type="dxa"/>
            <w:right w:w="108" w:type="dxa"/>
          </w:tblCellMar>
        </w:tblPrEx>
        <w:tc>
          <w:tcPr>
            <w:tcW w:w="8848" w:type="dxa"/>
            <w:gridSpan w:val="14"/>
            <w:vAlign w:val="center"/>
          </w:tcPr>
          <w:p w14:paraId="0A64AE28">
            <w:pPr>
              <w:jc w:val="center"/>
            </w:pPr>
            <w:r>
              <w:rPr>
                <w:rFonts w:ascii="宋体" w:hAnsi="宋体" w:eastAsia="宋体"/>
                <w:sz w:val="24"/>
              </w:rPr>
              <w:t>(2024年度)</w:t>
            </w:r>
          </w:p>
        </w:tc>
      </w:tr>
      <w:tr w14:paraId="4C45B6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DA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AF88D5">
            <w:pPr>
              <w:jc w:val="center"/>
            </w:pPr>
            <w:r>
              <w:rPr>
                <w:rFonts w:ascii="宋体" w:hAnsi="宋体" w:eastAsia="宋体"/>
                <w:sz w:val="16"/>
              </w:rPr>
              <w:t>2024年聘请优秀约隆传承人补助费（县级）</w:t>
            </w:r>
          </w:p>
        </w:tc>
      </w:tr>
      <w:tr w14:paraId="44E525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ED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F69C4">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5D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7931BC">
            <w:pPr>
              <w:jc w:val="center"/>
            </w:pPr>
            <w:r>
              <w:rPr>
                <w:rFonts w:ascii="宋体" w:hAnsi="宋体" w:eastAsia="宋体"/>
                <w:sz w:val="16"/>
              </w:rPr>
              <w:t>新疆阿克陶县文工团</w:t>
            </w:r>
          </w:p>
        </w:tc>
      </w:tr>
      <w:tr w14:paraId="6D6992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A8C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50C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1E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205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7E3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F87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5B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0330">
            <w:pPr>
              <w:jc w:val="center"/>
            </w:pPr>
            <w:r>
              <w:rPr>
                <w:rFonts w:ascii="宋体" w:hAnsi="宋体" w:eastAsia="宋体"/>
                <w:sz w:val="16"/>
              </w:rPr>
              <w:t>得分</w:t>
            </w:r>
          </w:p>
        </w:tc>
      </w:tr>
      <w:tr w14:paraId="33E81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CE0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2EC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F45A">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F1436">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30186">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6C6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7B859">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C598">
            <w:pPr>
              <w:jc w:val="center"/>
            </w:pPr>
            <w:r>
              <w:rPr>
                <w:rFonts w:ascii="宋体" w:hAnsi="宋体" w:eastAsia="宋体"/>
                <w:sz w:val="16"/>
              </w:rPr>
              <w:t>6.88分</w:t>
            </w:r>
          </w:p>
        </w:tc>
      </w:tr>
      <w:tr w14:paraId="38743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30A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43F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7668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8182F">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BF4E">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A5B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712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D36C">
            <w:pPr>
              <w:jc w:val="center"/>
            </w:pPr>
            <w:r>
              <w:rPr>
                <w:rFonts w:ascii="宋体" w:hAnsi="宋体" w:eastAsia="宋体"/>
                <w:sz w:val="16"/>
              </w:rPr>
              <w:t>—</w:t>
            </w:r>
          </w:p>
        </w:tc>
      </w:tr>
      <w:tr w14:paraId="31EB5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3F0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198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AF8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BA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7F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314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CAC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C1FB">
            <w:pPr>
              <w:jc w:val="center"/>
            </w:pPr>
            <w:r>
              <w:rPr>
                <w:rFonts w:ascii="宋体" w:hAnsi="宋体" w:eastAsia="宋体"/>
                <w:sz w:val="16"/>
              </w:rPr>
              <w:t>—</w:t>
            </w:r>
          </w:p>
        </w:tc>
      </w:tr>
      <w:tr w14:paraId="7D78C2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7E5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92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D05AA">
            <w:pPr>
              <w:jc w:val="center"/>
            </w:pPr>
            <w:r>
              <w:rPr>
                <w:rFonts w:ascii="宋体" w:hAnsi="宋体" w:eastAsia="宋体"/>
                <w:sz w:val="16"/>
              </w:rPr>
              <w:t>实际完成情况</w:t>
            </w:r>
          </w:p>
        </w:tc>
      </w:tr>
      <w:tr w14:paraId="46CA2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A0B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28EA8">
            <w:pPr>
              <w:jc w:val="both"/>
            </w:pPr>
            <w:r>
              <w:rPr>
                <w:rFonts w:ascii="宋体" w:hAnsi="宋体" w:eastAsia="宋体"/>
                <w:sz w:val="16"/>
              </w:rPr>
              <w:t>该项目资金用于优秀约隆传承人活动补助，保障每年开展不少于6次优秀约隆传</w:t>
            </w:r>
            <w:r>
              <w:rPr>
                <w:rFonts w:hint="eastAsia" w:ascii="宋体" w:hAnsi="宋体"/>
                <w:sz w:val="16"/>
                <w:lang w:eastAsia="zh-CN"/>
              </w:rPr>
              <w:t>承人</w:t>
            </w:r>
            <w:r>
              <w:rPr>
                <w:rFonts w:ascii="宋体" w:hAnsi="宋体" w:eastAsia="宋体"/>
                <w:sz w:val="16"/>
              </w:rPr>
              <w:t>活动，通过该项目的实施，充分发挥优秀约隆传承人在群众中的良好基础，弘扬优秀非物质文化，开展群众喜闻乐见的文化活动，丰富各族群众精神文化生活。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B588A6">
            <w:pPr>
              <w:jc w:val="both"/>
            </w:pPr>
            <w:r>
              <w:rPr>
                <w:rFonts w:ascii="宋体" w:hAnsi="宋体" w:eastAsia="宋体"/>
                <w:sz w:val="16"/>
              </w:rPr>
              <w:t>聘请优秀约隆传承人，提供资金支持，保障每年开展不少于6次优秀约隆传承活动，通过该项目的实施，充分发挥了优秀约隆传承人在群众中的良好基础，弘扬优秀非物质文化，开展群众喜闻乐见的文化活动，丰富了各族群众精神文化生活。达成传承和弘扬约隆文化的目标。</w:t>
            </w:r>
          </w:p>
        </w:tc>
      </w:tr>
      <w:tr w14:paraId="25B0D8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849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E4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FD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30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9B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49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AE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88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BD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85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4A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BA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E657B">
            <w:pPr>
              <w:jc w:val="center"/>
            </w:pPr>
            <w:r>
              <w:rPr>
                <w:rFonts w:ascii="宋体" w:hAnsi="宋体" w:eastAsia="宋体"/>
                <w:sz w:val="16"/>
              </w:rPr>
              <w:t>偏差原因分析及改进措施</w:t>
            </w:r>
          </w:p>
        </w:tc>
      </w:tr>
      <w:tr w14:paraId="3F834E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4ED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1C9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D8F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E0DB">
            <w:pPr>
              <w:jc w:val="center"/>
            </w:pPr>
            <w:r>
              <w:rPr>
                <w:rFonts w:ascii="宋体" w:hAnsi="宋体" w:eastAsia="宋体"/>
                <w:sz w:val="16"/>
              </w:rPr>
              <w:t>优秀约隆传承人数量（人）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3813">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20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05E3">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C4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8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16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6A0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AE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07AA0">
            <w:pPr>
              <w:jc w:val="center"/>
            </w:pPr>
            <w:r>
              <w:rPr>
                <w:rFonts w:ascii="宋体" w:hAnsi="宋体" w:eastAsia="宋体"/>
                <w:sz w:val="16"/>
              </w:rPr>
              <w:t>2024年人数按照2023年的人数来定的</w:t>
            </w:r>
          </w:p>
        </w:tc>
      </w:tr>
      <w:tr w14:paraId="0ED0C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9D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0A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BC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376D">
            <w:pPr>
              <w:jc w:val="center"/>
            </w:pPr>
            <w:r>
              <w:rPr>
                <w:rFonts w:ascii="宋体" w:hAnsi="宋体" w:eastAsia="宋体"/>
                <w:sz w:val="16"/>
              </w:rPr>
              <w:t>组织优秀约隆传承活动（次/年）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83A8">
            <w:pPr>
              <w:jc w:val="center"/>
            </w:pPr>
            <w:r>
              <w:rPr>
                <w:rFonts w:ascii="宋体" w:hAnsi="宋体" w:eastAsia="宋体"/>
                <w:sz w:val="16"/>
              </w:rPr>
              <w:t>&gt;=6次/年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79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05DA">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12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7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5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0A13">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24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33FC5">
            <w:pPr>
              <w:jc w:val="center"/>
            </w:pPr>
          </w:p>
        </w:tc>
      </w:tr>
      <w:tr w14:paraId="2A3FF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53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EA6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C91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0CBE">
            <w:pPr>
              <w:jc w:val="center"/>
            </w:pPr>
            <w:r>
              <w:rPr>
                <w:rFonts w:ascii="宋体" w:hAnsi="宋体" w:eastAsia="宋体"/>
                <w:sz w:val="16"/>
              </w:rPr>
              <w:t>组织优秀约隆传承活动完成率（%）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F19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74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14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D5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2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04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9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41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DF169">
            <w:pPr>
              <w:jc w:val="center"/>
            </w:pPr>
          </w:p>
        </w:tc>
      </w:tr>
      <w:tr w14:paraId="64BE4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16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8A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A3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8206">
            <w:pPr>
              <w:jc w:val="center"/>
            </w:pPr>
            <w:r>
              <w:rPr>
                <w:rFonts w:ascii="宋体" w:hAnsi="宋体" w:eastAsia="宋体"/>
                <w:sz w:val="16"/>
              </w:rPr>
              <w:t>参加优秀约隆演唱活动完成率（%）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A7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C5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A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7C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6E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C1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A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67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9C509">
            <w:pPr>
              <w:jc w:val="center"/>
            </w:pPr>
          </w:p>
        </w:tc>
      </w:tr>
      <w:tr w14:paraId="7EBF5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CE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73E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D9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68D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1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86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F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52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2F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AE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8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F1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CD660">
            <w:pPr>
              <w:jc w:val="center"/>
            </w:pPr>
          </w:p>
        </w:tc>
      </w:tr>
      <w:tr w14:paraId="3AE1B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C1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5C4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AB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4243">
            <w:pPr>
              <w:jc w:val="center"/>
            </w:pPr>
            <w:r>
              <w:rPr>
                <w:rFonts w:ascii="宋体" w:hAnsi="宋体" w:eastAsia="宋体"/>
                <w:sz w:val="16"/>
              </w:rPr>
              <w:t>优秀约隆补助费（万元）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C299">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32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ADE5">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FE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4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F3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D126">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68E1">
            <w:pPr>
              <w:jc w:val="center"/>
            </w:pPr>
            <w:r>
              <w:rPr>
                <w:rFonts w:ascii="宋体" w:hAnsi="宋体" w:eastAsia="宋体"/>
                <w:sz w:val="16"/>
              </w:rPr>
              <w:t>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A79E7">
            <w:pPr>
              <w:jc w:val="center"/>
            </w:pPr>
            <w:r>
              <w:rPr>
                <w:rFonts w:ascii="宋体" w:hAnsi="宋体" w:eastAsia="宋体"/>
                <w:sz w:val="16"/>
              </w:rPr>
              <w:t>项目已完成，2024年的预算按照2023年的人数来做预算的</w:t>
            </w:r>
          </w:p>
        </w:tc>
      </w:tr>
      <w:tr w14:paraId="5343A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46C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04F7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444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06F6">
            <w:pPr>
              <w:jc w:val="center"/>
            </w:pPr>
            <w:r>
              <w:rPr>
                <w:rFonts w:ascii="宋体" w:hAnsi="宋体" w:eastAsia="宋体"/>
                <w:sz w:val="16"/>
              </w:rPr>
              <w:t>弘扬中华传统文化情况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AEED">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26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E6AB">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46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A0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67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65DD">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6C3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DF0D">
            <w:pPr>
              <w:jc w:val="center"/>
            </w:pPr>
          </w:p>
        </w:tc>
      </w:tr>
      <w:tr w14:paraId="66CE8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B2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AE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76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BDB9">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36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06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180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D4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24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1A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F8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367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080A1">
            <w:pPr>
              <w:jc w:val="center"/>
            </w:pPr>
          </w:p>
        </w:tc>
      </w:tr>
      <w:tr w14:paraId="4957A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10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0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05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EFA8">
            <w:pPr>
              <w:jc w:val="center"/>
            </w:pPr>
            <w:r>
              <w:rPr>
                <w:rFonts w:ascii="宋体" w:hAnsi="宋体" w:eastAsia="宋体"/>
                <w:sz w:val="16"/>
              </w:rPr>
              <w:t>提升宣传推广国家级非物质文化遗产力度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AA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C8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C3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B7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1D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E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C8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F9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42B6C">
            <w:pPr>
              <w:jc w:val="center"/>
            </w:pPr>
          </w:p>
        </w:tc>
      </w:tr>
      <w:tr w14:paraId="7B4AB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4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C7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63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836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88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D7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BFC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3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AB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3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E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44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A93CA">
            <w:pPr>
              <w:jc w:val="center"/>
            </w:pPr>
          </w:p>
        </w:tc>
      </w:tr>
      <w:tr w14:paraId="70CE41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2AC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0B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D5D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DB43">
            <w:pPr>
              <w:jc w:val="center"/>
            </w:pPr>
            <w:r>
              <w:rPr>
                <w:rFonts w:ascii="宋体" w:hAnsi="宋体" w:eastAsia="宋体"/>
                <w:sz w:val="16"/>
              </w:rPr>
              <w:t>82.63分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800218"/>
        </w:tc>
      </w:tr>
    </w:tbl>
    <w:p w14:paraId="7FAA8B3F">
      <w:r>
        <w:br w:type="page"/>
      </w:r>
    </w:p>
    <w:p w14:paraId="339675C7">
      <w:pPr>
        <w:spacing w:line="640" w:lineRule="exact"/>
        <w:ind w:firstLine="640"/>
        <w:jc w:val="both"/>
        <w:outlineLvl w:val="2"/>
      </w:pPr>
      <w:r>
        <w:rPr>
          <w:rFonts w:ascii="黑体" w:hAnsi="黑体" w:eastAsia="黑体"/>
          <w:sz w:val="32"/>
        </w:rPr>
        <w:t>十二、其他需说明的事项</w:t>
      </w:r>
    </w:p>
    <w:p w14:paraId="184B352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B81F508">
      <w:r>
        <w:br w:type="page"/>
      </w:r>
    </w:p>
    <w:p w14:paraId="30933F48">
      <w:pPr>
        <w:spacing w:line="240" w:lineRule="auto"/>
        <w:jc w:val="center"/>
        <w:outlineLvl w:val="1"/>
      </w:pPr>
      <w:r>
        <w:rPr>
          <w:rFonts w:ascii="黑体" w:hAnsi="黑体" w:eastAsia="黑体"/>
          <w:sz w:val="32"/>
        </w:rPr>
        <w:t>第三部分 专业名词解释</w:t>
      </w:r>
    </w:p>
    <w:p w14:paraId="24A1D5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F770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0A40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0B15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DD9CE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8FEF1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456C5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A8E0B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8B27F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2889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C483D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D7BE4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7F2F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DF20C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26B037">
      <w:r>
        <w:br w:type="page"/>
      </w:r>
    </w:p>
    <w:p w14:paraId="6CF9894A">
      <w:pPr>
        <w:spacing w:line="240" w:lineRule="auto"/>
        <w:jc w:val="center"/>
        <w:outlineLvl w:val="1"/>
      </w:pPr>
      <w:r>
        <w:rPr>
          <w:rFonts w:ascii="黑体" w:hAnsi="黑体" w:eastAsia="黑体"/>
          <w:sz w:val="32"/>
        </w:rPr>
        <w:t>第四部分 部门决算报表（见附表）</w:t>
      </w:r>
    </w:p>
    <w:p w14:paraId="3A64CDFF">
      <w:pPr>
        <w:spacing w:line="240" w:lineRule="auto"/>
        <w:ind w:firstLine="640"/>
        <w:jc w:val="both"/>
      </w:pPr>
      <w:r>
        <w:rPr>
          <w:rFonts w:ascii="仿宋_GB2312" w:hAnsi="仿宋_GB2312" w:eastAsia="仿宋_GB2312"/>
          <w:b w:val="0"/>
          <w:sz w:val="32"/>
        </w:rPr>
        <w:t>一、《收入支出决算总表》</w:t>
      </w:r>
    </w:p>
    <w:p w14:paraId="4FE20B84">
      <w:pPr>
        <w:spacing w:line="240" w:lineRule="auto"/>
        <w:ind w:firstLine="640"/>
        <w:jc w:val="both"/>
      </w:pPr>
      <w:r>
        <w:rPr>
          <w:rFonts w:ascii="仿宋_GB2312" w:hAnsi="仿宋_GB2312" w:eastAsia="仿宋_GB2312"/>
          <w:b w:val="0"/>
          <w:sz w:val="32"/>
        </w:rPr>
        <w:t>二、《收入决算表》</w:t>
      </w:r>
    </w:p>
    <w:p w14:paraId="12ED9F6C">
      <w:pPr>
        <w:spacing w:line="240" w:lineRule="auto"/>
        <w:ind w:firstLine="640"/>
        <w:jc w:val="both"/>
      </w:pPr>
      <w:r>
        <w:rPr>
          <w:rFonts w:ascii="仿宋_GB2312" w:hAnsi="仿宋_GB2312" w:eastAsia="仿宋_GB2312"/>
          <w:b w:val="0"/>
          <w:sz w:val="32"/>
        </w:rPr>
        <w:t>三、《支出决算表》</w:t>
      </w:r>
    </w:p>
    <w:p w14:paraId="0F908FC5">
      <w:pPr>
        <w:spacing w:line="240" w:lineRule="auto"/>
        <w:ind w:firstLine="640"/>
        <w:jc w:val="both"/>
      </w:pPr>
      <w:r>
        <w:rPr>
          <w:rFonts w:ascii="仿宋_GB2312" w:hAnsi="仿宋_GB2312" w:eastAsia="仿宋_GB2312"/>
          <w:b w:val="0"/>
          <w:sz w:val="32"/>
        </w:rPr>
        <w:t>四、《财政拨款收入支出决算总表》</w:t>
      </w:r>
    </w:p>
    <w:p w14:paraId="55BF9EB6">
      <w:pPr>
        <w:spacing w:line="240" w:lineRule="auto"/>
        <w:ind w:firstLine="640"/>
        <w:jc w:val="both"/>
      </w:pPr>
      <w:r>
        <w:rPr>
          <w:rFonts w:ascii="仿宋_GB2312" w:hAnsi="仿宋_GB2312" w:eastAsia="仿宋_GB2312"/>
          <w:b w:val="0"/>
          <w:sz w:val="32"/>
        </w:rPr>
        <w:t>五、《一般公共预算财政拨款支出决算表》</w:t>
      </w:r>
    </w:p>
    <w:p w14:paraId="0559460E">
      <w:pPr>
        <w:spacing w:line="240" w:lineRule="auto"/>
        <w:ind w:firstLine="640"/>
        <w:jc w:val="both"/>
      </w:pPr>
      <w:r>
        <w:rPr>
          <w:rFonts w:ascii="仿宋_GB2312" w:hAnsi="仿宋_GB2312" w:eastAsia="仿宋_GB2312"/>
          <w:b w:val="0"/>
          <w:sz w:val="32"/>
        </w:rPr>
        <w:t>六、《一般公共预算财政拨款基本支出决算表》</w:t>
      </w:r>
    </w:p>
    <w:p w14:paraId="15522178">
      <w:pPr>
        <w:spacing w:line="240" w:lineRule="auto"/>
        <w:ind w:firstLine="640"/>
        <w:jc w:val="both"/>
      </w:pPr>
      <w:r>
        <w:rPr>
          <w:rFonts w:ascii="仿宋_GB2312" w:hAnsi="仿宋_GB2312" w:eastAsia="仿宋_GB2312"/>
          <w:b w:val="0"/>
          <w:sz w:val="32"/>
        </w:rPr>
        <w:t>七、《政府性基金预算财政拨款收入支出决算表》</w:t>
      </w:r>
    </w:p>
    <w:p w14:paraId="7070941E">
      <w:pPr>
        <w:spacing w:line="240" w:lineRule="auto"/>
        <w:ind w:firstLine="640"/>
        <w:jc w:val="both"/>
      </w:pPr>
      <w:r>
        <w:rPr>
          <w:rFonts w:ascii="仿宋_GB2312" w:hAnsi="仿宋_GB2312" w:eastAsia="仿宋_GB2312"/>
          <w:b w:val="0"/>
          <w:sz w:val="32"/>
        </w:rPr>
        <w:t>八、《国有资本经营预算财政拨款收入支出决算表》</w:t>
      </w:r>
    </w:p>
    <w:p w14:paraId="44A56AAC">
      <w:pPr>
        <w:spacing w:line="240" w:lineRule="auto"/>
        <w:ind w:firstLine="640"/>
        <w:jc w:val="both"/>
      </w:pPr>
      <w:r>
        <w:rPr>
          <w:rFonts w:ascii="仿宋_GB2312" w:hAnsi="仿宋_GB2312" w:eastAsia="仿宋_GB2312"/>
          <w:b w:val="0"/>
          <w:sz w:val="32"/>
        </w:rPr>
        <w:t>九、《财政拨款“三公”经费支出决算表》</w:t>
      </w:r>
    </w:p>
    <w:p w14:paraId="37856076">
      <w:pPr>
        <w:spacing w:line="240" w:lineRule="auto"/>
        <w:ind w:firstLine="640"/>
        <w:jc w:val="both"/>
      </w:pPr>
    </w:p>
    <w:p w14:paraId="6F68116F">
      <w:pPr>
        <w:spacing w:line="240" w:lineRule="auto"/>
        <w:ind w:firstLine="640"/>
        <w:jc w:val="both"/>
      </w:pPr>
    </w:p>
    <w:p w14:paraId="35E3615C">
      <w:pPr>
        <w:spacing w:line="240" w:lineRule="auto"/>
        <w:ind w:firstLine="640"/>
        <w:jc w:val="both"/>
      </w:pPr>
    </w:p>
    <w:p w14:paraId="04EF1FD4">
      <w:pPr>
        <w:spacing w:line="240" w:lineRule="auto"/>
        <w:ind w:firstLine="640"/>
        <w:jc w:val="both"/>
      </w:pPr>
    </w:p>
    <w:p w14:paraId="52919C4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777AE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DC2A38"/>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5472</Words>
  <Characters>6250</Characters>
  <Lines>0</Lines>
  <Paragraphs>0</Paragraphs>
  <TotalTime>6</TotalTime>
  <ScaleCrop>false</ScaleCrop>
  <LinksUpToDate>false</LinksUpToDate>
  <CharactersWithSpaces>6259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2025-09-15T08:13:59Z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