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阿克陶县农村合作经济经营管理服务中心2024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2B0DD22">
      <w:r>
        <w:br w:type="page"/>
      </w:r>
    </w:p>
    <w:p w14:paraId="673F2B4C">
      <w:pPr>
        <w:spacing w:line="640" w:lineRule="exact"/>
        <w:jc w:val="center"/>
        <w:outlineLvl w:val="1"/>
      </w:pPr>
      <w:r>
        <w:rPr>
          <w:rFonts w:ascii="黑体" w:hAnsi="黑体" w:eastAsia="黑体"/>
          <w:sz w:val="32"/>
        </w:rPr>
        <w:t>第一部分 单位概况</w:t>
      </w:r>
    </w:p>
    <w:p w14:paraId="26CD0FC5">
      <w:pPr>
        <w:spacing w:line="640" w:lineRule="exact"/>
        <w:ind w:firstLine="640"/>
        <w:jc w:val="both"/>
        <w:outlineLvl w:val="2"/>
      </w:pPr>
      <w:r>
        <w:rPr>
          <w:rFonts w:ascii="黑体" w:hAnsi="黑体" w:eastAsia="黑体"/>
          <w:sz w:val="32"/>
        </w:rPr>
        <w:t>一、主要职能</w:t>
      </w:r>
    </w:p>
    <w:p w14:paraId="5A347AFF">
      <w:pPr>
        <w:spacing w:line="580" w:lineRule="exact"/>
        <w:ind w:firstLine="640"/>
        <w:jc w:val="both"/>
      </w:pPr>
      <w:r>
        <w:rPr>
          <w:rFonts w:ascii="仿宋_GB2312" w:hAnsi="仿宋_GB2312" w:eastAsia="仿宋_GB2312"/>
          <w:sz w:val="32"/>
        </w:rPr>
        <w:t>负责为农村合作经济健康发展、提供管理保障、土地承包管理、农村集体资产管理、</w:t>
      </w:r>
      <w:r>
        <w:rPr>
          <w:rFonts w:hint="eastAsia" w:ascii="仿宋_GB2312" w:hAnsi="仿宋_GB2312" w:eastAsia="仿宋_GB2312"/>
          <w:sz w:val="32"/>
          <w:lang w:eastAsia="zh-CN"/>
        </w:rPr>
        <w:t>农村集体经济组织</w:t>
      </w:r>
      <w:r>
        <w:rPr>
          <w:rFonts w:ascii="仿宋_GB2312" w:hAnsi="仿宋_GB2312" w:eastAsia="仿宋_GB2312"/>
          <w:sz w:val="32"/>
        </w:rPr>
        <w:t>管理、农村合作基金会管理、农村经济体系管理、农村政策宣传、土地清理、土地确权颁证、清产核资等。</w:t>
      </w:r>
    </w:p>
    <w:p w14:paraId="2F989794">
      <w:pPr>
        <w:spacing w:line="640" w:lineRule="exact"/>
        <w:ind w:firstLine="640"/>
        <w:jc w:val="both"/>
        <w:outlineLvl w:val="2"/>
      </w:pPr>
      <w:r>
        <w:rPr>
          <w:rFonts w:ascii="黑体" w:hAnsi="黑体" w:eastAsia="黑体"/>
          <w:sz w:val="32"/>
        </w:rPr>
        <w:t>二、机构设置及人员情况</w:t>
      </w:r>
    </w:p>
    <w:p w14:paraId="070E3E9B">
      <w:pPr>
        <w:spacing w:line="580" w:lineRule="exact"/>
        <w:ind w:firstLine="640"/>
        <w:jc w:val="both"/>
      </w:pPr>
      <w:r>
        <w:rPr>
          <w:rFonts w:ascii="仿宋_GB2312" w:hAnsi="仿宋_GB2312" w:eastAsia="仿宋_GB2312"/>
          <w:sz w:val="32"/>
        </w:rPr>
        <w:t>阿克陶县农村合作经济经营管理服务中心2024年度，实有人数12人，其中：在职人员6人，减少1人；离休人员0人，增加0人；退休人员6人</w:t>
      </w:r>
      <w:r>
        <w:rPr>
          <w:rFonts w:hint="eastAsia" w:ascii="仿宋_GB2312" w:hAnsi="仿宋_GB2312" w:eastAsia="仿宋_GB2312"/>
          <w:sz w:val="32"/>
          <w:lang w:eastAsia="zh-CN"/>
        </w:rPr>
        <w:t>，</w:t>
      </w:r>
      <w:r>
        <w:rPr>
          <w:rFonts w:ascii="仿宋_GB2312" w:hAnsi="仿宋_GB2312" w:eastAsia="仿宋_GB2312"/>
          <w:sz w:val="32"/>
        </w:rPr>
        <w:t>增加1人。</w:t>
      </w:r>
    </w:p>
    <w:p w14:paraId="075EFA69">
      <w:pPr>
        <w:spacing w:line="580" w:lineRule="exact"/>
        <w:ind w:firstLine="640"/>
        <w:jc w:val="both"/>
      </w:pPr>
      <w:r>
        <w:rPr>
          <w:rFonts w:ascii="仿宋_GB2312" w:hAnsi="仿宋_GB2312" w:eastAsia="仿宋_GB2312"/>
          <w:sz w:val="32"/>
        </w:rPr>
        <w:t>阿克陶县农村合作经济经营管理服务中心无下属预算单位，下设2个科室，分别是：财务室、办公室。</w:t>
      </w:r>
    </w:p>
    <w:p w14:paraId="035CCAE1">
      <w:r>
        <w:br w:type="page"/>
      </w:r>
    </w:p>
    <w:p w14:paraId="6F65E536">
      <w:pPr>
        <w:spacing w:line="240" w:lineRule="auto"/>
        <w:jc w:val="center"/>
        <w:outlineLvl w:val="1"/>
      </w:pPr>
      <w:r>
        <w:rPr>
          <w:rFonts w:ascii="黑体" w:hAnsi="黑体" w:eastAsia="黑体"/>
          <w:sz w:val="32"/>
        </w:rPr>
        <w:t>第二部分 部门决算情况说明</w:t>
      </w:r>
    </w:p>
    <w:p w14:paraId="3510C3D0">
      <w:pPr>
        <w:spacing w:line="640" w:lineRule="exact"/>
        <w:ind w:firstLine="640"/>
        <w:jc w:val="both"/>
        <w:outlineLvl w:val="2"/>
      </w:pPr>
      <w:r>
        <w:rPr>
          <w:rFonts w:ascii="黑体" w:hAnsi="黑体" w:eastAsia="黑体"/>
          <w:sz w:val="32"/>
        </w:rPr>
        <w:t>一、收入支出决算总体情况说明</w:t>
      </w:r>
    </w:p>
    <w:p w14:paraId="0301513B">
      <w:pPr>
        <w:spacing w:line="580" w:lineRule="exact"/>
        <w:ind w:firstLine="640"/>
        <w:jc w:val="both"/>
      </w:pPr>
      <w:r>
        <w:rPr>
          <w:rFonts w:ascii="仿宋_GB2312" w:hAnsi="仿宋_GB2312" w:eastAsia="仿宋_GB2312"/>
          <w:b/>
          <w:sz w:val="32"/>
        </w:rPr>
        <w:t>2024年度收入总计217.13万元，</w:t>
      </w:r>
      <w:r>
        <w:rPr>
          <w:rFonts w:ascii="仿宋_GB2312" w:hAnsi="仿宋_GB2312" w:eastAsia="仿宋_GB2312"/>
          <w:b w:val="0"/>
          <w:sz w:val="32"/>
        </w:rPr>
        <w:t>其中：本年收入合计186.34万元，使用非财政拨款结余（含专用结余）0.00万元，年初结转和结余30.79万元。</w:t>
      </w:r>
    </w:p>
    <w:p w14:paraId="209E4ACD">
      <w:pPr>
        <w:spacing w:line="580" w:lineRule="exact"/>
        <w:ind w:firstLine="640"/>
        <w:jc w:val="both"/>
      </w:pPr>
      <w:r>
        <w:rPr>
          <w:rFonts w:ascii="仿宋_GB2312" w:hAnsi="仿宋_GB2312" w:eastAsia="仿宋_GB2312"/>
          <w:b/>
          <w:sz w:val="32"/>
        </w:rPr>
        <w:t>2024年度支出总计217.13万元，</w:t>
      </w:r>
      <w:r>
        <w:rPr>
          <w:rFonts w:ascii="仿宋_GB2312" w:hAnsi="仿宋_GB2312" w:eastAsia="仿宋_GB2312"/>
          <w:b w:val="0"/>
          <w:sz w:val="32"/>
        </w:rPr>
        <w:t>其中：本年支出合计181.21万元，结余分配0.00万元，年末结转和结余35.91万元。</w:t>
      </w:r>
    </w:p>
    <w:p w14:paraId="332C7934">
      <w:pPr>
        <w:spacing w:line="580" w:lineRule="exact"/>
        <w:ind w:firstLine="640"/>
        <w:jc w:val="both"/>
      </w:pPr>
      <w:r>
        <w:rPr>
          <w:rFonts w:ascii="仿宋_GB2312" w:hAnsi="仿宋_GB2312" w:eastAsia="仿宋_GB2312"/>
          <w:b w:val="0"/>
          <w:sz w:val="32"/>
        </w:rPr>
        <w:t>收入支出总体与上年相比，减少352.98万元，下降61.91%，主要原因是：本年在职人员</w:t>
      </w:r>
      <w:r>
        <w:rPr>
          <w:rFonts w:hint="eastAsia" w:ascii="仿宋_GB2312" w:hAnsi="仿宋_GB2312" w:eastAsia="仿宋_GB2312"/>
          <w:b w:val="0"/>
          <w:sz w:val="32"/>
          <w:lang w:val="en-US" w:eastAsia="zh-CN"/>
        </w:rPr>
        <w:t>存在</w:t>
      </w:r>
      <w:r>
        <w:rPr>
          <w:rFonts w:ascii="仿宋_GB2312" w:hAnsi="仿宋_GB2312" w:eastAsia="仿宋_GB2312"/>
          <w:b w:val="0"/>
          <w:sz w:val="32"/>
        </w:rPr>
        <w:t>调入</w:t>
      </w:r>
      <w:r>
        <w:rPr>
          <w:rFonts w:hint="eastAsia" w:ascii="仿宋_GB2312" w:hAnsi="仿宋_GB2312" w:eastAsia="仿宋_GB2312"/>
          <w:b w:val="0"/>
          <w:sz w:val="32"/>
          <w:lang w:val="en-US" w:eastAsia="zh-CN"/>
        </w:rPr>
        <w:t>人员，退休人员</w:t>
      </w:r>
      <w:r>
        <w:rPr>
          <w:rFonts w:ascii="仿宋_GB2312" w:hAnsi="仿宋_GB2312" w:eastAsia="仿宋_GB2312"/>
          <w:b w:val="0"/>
          <w:sz w:val="32"/>
        </w:rPr>
        <w:t>，人员职级不同，工资基数不同，导致人员经费较上年减少；本年减少新型农业经营主体提升技术应用和生产经营能力项目、中央农业经营主体能力提升资金</w:t>
      </w:r>
      <w:r>
        <w:rPr>
          <w:rFonts w:hint="eastAsia" w:ascii="仿宋_GB2312" w:hAnsi="仿宋_GB2312" w:eastAsia="仿宋_GB2312"/>
          <w:b w:val="0"/>
          <w:sz w:val="32"/>
          <w:lang w:eastAsia="zh-CN"/>
        </w:rPr>
        <w:t>、</w:t>
      </w:r>
      <w:r>
        <w:rPr>
          <w:rFonts w:ascii="仿宋_GB2312" w:hAnsi="仿宋_GB2312" w:eastAsia="仿宋_GB2312"/>
          <w:b w:val="0"/>
          <w:sz w:val="32"/>
        </w:rPr>
        <w:t>农牧民技术人员培训工作经</w:t>
      </w:r>
      <w:r>
        <w:rPr>
          <w:rFonts w:hint="eastAsia" w:ascii="仿宋_GB2312" w:hAnsi="仿宋_GB2312" w:eastAsia="仿宋_GB2312"/>
          <w:b w:val="0"/>
          <w:sz w:val="32"/>
          <w:lang w:val="en-US" w:eastAsia="zh-CN"/>
        </w:rPr>
        <w:t>费</w:t>
      </w:r>
      <w:r>
        <w:rPr>
          <w:rFonts w:ascii="仿宋_GB2312" w:hAnsi="仿宋_GB2312" w:eastAsia="仿宋_GB2312"/>
          <w:b w:val="0"/>
          <w:sz w:val="32"/>
        </w:rPr>
        <w:t>。</w:t>
      </w:r>
    </w:p>
    <w:p w14:paraId="59048ECC">
      <w:pPr>
        <w:spacing w:line="640" w:lineRule="exact"/>
        <w:ind w:firstLine="640"/>
        <w:jc w:val="both"/>
        <w:outlineLvl w:val="2"/>
      </w:pPr>
      <w:r>
        <w:rPr>
          <w:rFonts w:ascii="黑体" w:hAnsi="黑体" w:eastAsia="黑体"/>
          <w:sz w:val="32"/>
        </w:rPr>
        <w:t>二、收入决算情况说明</w:t>
      </w:r>
    </w:p>
    <w:p w14:paraId="558405E9">
      <w:pPr>
        <w:spacing w:line="580" w:lineRule="exact"/>
        <w:ind w:firstLine="640"/>
        <w:jc w:val="both"/>
      </w:pPr>
      <w:r>
        <w:rPr>
          <w:rFonts w:ascii="仿宋_GB2312" w:hAnsi="仿宋_GB2312" w:eastAsia="仿宋_GB2312"/>
          <w:b/>
          <w:sz w:val="32"/>
        </w:rPr>
        <w:t>本年收入186.34万元，</w:t>
      </w:r>
      <w:r>
        <w:rPr>
          <w:rFonts w:ascii="仿宋_GB2312" w:hAnsi="仿宋_GB2312" w:eastAsia="仿宋_GB2312"/>
          <w:b w:val="0"/>
          <w:sz w:val="32"/>
        </w:rPr>
        <w:t>其中：财政拨款收入174.71万元，占93.76%；上级补助收入0.00万元，占0.00%；事业收入0.00万元，占0.00%；经营收入0.00万元，占0.00%；附属单位上缴收入0.00万元，占0.00%；其他收入11.63万元，占6.24%。</w:t>
      </w:r>
    </w:p>
    <w:p w14:paraId="17DB4405">
      <w:pPr>
        <w:spacing w:line="640" w:lineRule="exact"/>
        <w:ind w:firstLine="640"/>
        <w:jc w:val="both"/>
        <w:outlineLvl w:val="2"/>
      </w:pPr>
      <w:r>
        <w:rPr>
          <w:rFonts w:ascii="黑体" w:hAnsi="黑体" w:eastAsia="黑体"/>
          <w:sz w:val="32"/>
        </w:rPr>
        <w:t>三、支出决算情况说明</w:t>
      </w:r>
    </w:p>
    <w:p w14:paraId="06861254">
      <w:pPr>
        <w:spacing w:line="580" w:lineRule="exact"/>
        <w:ind w:firstLine="640"/>
        <w:jc w:val="both"/>
      </w:pPr>
      <w:r>
        <w:rPr>
          <w:rFonts w:ascii="仿宋_GB2312" w:hAnsi="仿宋_GB2312" w:eastAsia="仿宋_GB2312"/>
          <w:b/>
          <w:sz w:val="32"/>
        </w:rPr>
        <w:t>本年支出181.21万元，</w:t>
      </w:r>
      <w:r>
        <w:rPr>
          <w:rFonts w:ascii="仿宋_GB2312" w:hAnsi="仿宋_GB2312" w:eastAsia="仿宋_GB2312"/>
          <w:b w:val="0"/>
          <w:sz w:val="32"/>
        </w:rPr>
        <w:t>其中：基本支出169.39万元，占93.48%；项目支出11.82万元，占6.52%；上缴上级支出0.00万元，占0.00%；经营支出0.00万元，占0.00%；对附属单位补助支出0.00万元，占0.00%。</w:t>
      </w:r>
    </w:p>
    <w:p w14:paraId="25E42D3F">
      <w:pPr>
        <w:spacing w:line="640" w:lineRule="exact"/>
        <w:ind w:firstLine="640"/>
        <w:jc w:val="both"/>
        <w:outlineLvl w:val="2"/>
      </w:pPr>
      <w:r>
        <w:rPr>
          <w:rFonts w:ascii="黑体" w:hAnsi="黑体" w:eastAsia="黑体"/>
          <w:sz w:val="32"/>
        </w:rPr>
        <w:t>四、财政拨款收入支出决算总体情况说明</w:t>
      </w:r>
    </w:p>
    <w:p w14:paraId="57AFF3B3">
      <w:pPr>
        <w:spacing w:line="580" w:lineRule="exact"/>
        <w:ind w:firstLine="640"/>
        <w:jc w:val="both"/>
      </w:pPr>
      <w:r>
        <w:rPr>
          <w:rFonts w:ascii="仿宋_GB2312" w:hAnsi="仿宋_GB2312" w:eastAsia="仿宋_GB2312"/>
          <w:b/>
          <w:sz w:val="32"/>
        </w:rPr>
        <w:t>2024年度财政拨款收入总计174.71万元，</w:t>
      </w:r>
      <w:r>
        <w:rPr>
          <w:rFonts w:ascii="仿宋_GB2312" w:hAnsi="仿宋_GB2312" w:eastAsia="仿宋_GB2312"/>
          <w:b w:val="0"/>
          <w:sz w:val="32"/>
        </w:rPr>
        <w:t>其中：年初财政拨款结转和结余0.00万元，本年财政拨款收入174.71万元。</w:t>
      </w:r>
      <w:r>
        <w:rPr>
          <w:rFonts w:ascii="仿宋_GB2312" w:hAnsi="仿宋_GB2312" w:eastAsia="仿宋_GB2312"/>
          <w:b/>
          <w:sz w:val="32"/>
        </w:rPr>
        <w:t>财政拨款支出总计174.71万元，</w:t>
      </w:r>
      <w:r>
        <w:rPr>
          <w:rFonts w:ascii="仿宋_GB2312" w:hAnsi="仿宋_GB2312" w:eastAsia="仿宋_GB2312"/>
          <w:b w:val="0"/>
          <w:sz w:val="32"/>
        </w:rPr>
        <w:t>其中：年末财政拨款结转和结余0.00万元，本年财政拨款支出174.71万元。</w:t>
      </w:r>
    </w:p>
    <w:p w14:paraId="5F2D197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减少327.43万元，下降65.21%，主要原因是：本年减少新型农业经营主体提升技术应用和生产经营能力项目、中央农业经营主体能力提升资金</w:t>
      </w:r>
      <w:r>
        <w:rPr>
          <w:rFonts w:hint="eastAsia" w:ascii="仿宋_GB2312" w:hAnsi="仿宋_GB2312" w:eastAsia="仿宋_GB2312"/>
          <w:b w:val="0"/>
          <w:sz w:val="32"/>
          <w:lang w:eastAsia="zh-CN"/>
        </w:rPr>
        <w:t>、</w:t>
      </w:r>
      <w:r>
        <w:rPr>
          <w:rFonts w:ascii="仿宋_GB2312" w:hAnsi="仿宋_GB2312" w:eastAsia="仿宋_GB2312"/>
          <w:b w:val="0"/>
          <w:sz w:val="32"/>
        </w:rPr>
        <w:t>农牧民技术人员培训工作经</w:t>
      </w:r>
      <w:r>
        <w:rPr>
          <w:rFonts w:hint="eastAsia" w:ascii="仿宋_GB2312" w:hAnsi="仿宋_GB2312" w:eastAsia="仿宋_GB2312"/>
          <w:b w:val="0"/>
          <w:sz w:val="32"/>
          <w:lang w:val="en-US" w:eastAsia="zh-CN"/>
        </w:rPr>
        <w:t>费</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年初预算数465.47万元，决算数174.71万元，预决算差异率-62.47%，主要原因是：年中调减中央农业经营主体能力提升资金，导致预决算差异。</w:t>
      </w:r>
    </w:p>
    <w:p w14:paraId="67DDE578">
      <w:pPr>
        <w:spacing w:line="640" w:lineRule="exact"/>
        <w:ind w:firstLine="640"/>
        <w:jc w:val="both"/>
        <w:outlineLvl w:val="2"/>
      </w:pPr>
      <w:r>
        <w:rPr>
          <w:rFonts w:ascii="黑体" w:hAnsi="黑体" w:eastAsia="黑体"/>
          <w:sz w:val="32"/>
        </w:rPr>
        <w:t>五、一般公共预算财政拨款支出决算情况说明</w:t>
      </w:r>
    </w:p>
    <w:p w14:paraId="76295EA8">
      <w:pPr>
        <w:spacing w:line="640" w:lineRule="exact"/>
        <w:ind w:firstLine="640"/>
        <w:jc w:val="both"/>
        <w:outlineLvl w:val="3"/>
      </w:pPr>
      <w:r>
        <w:rPr>
          <w:rFonts w:ascii="楷体_GB2312" w:hAnsi="楷体_GB2312" w:eastAsia="楷体_GB2312"/>
          <w:b/>
          <w:sz w:val="32"/>
        </w:rPr>
        <w:t>（一）一般公共预算财政拨款支出决算总体情况</w:t>
      </w:r>
    </w:p>
    <w:p w14:paraId="0A9AF640">
      <w:pPr>
        <w:spacing w:line="580" w:lineRule="exact"/>
        <w:ind w:firstLine="640"/>
        <w:jc w:val="both"/>
      </w:pPr>
      <w:r>
        <w:rPr>
          <w:rFonts w:ascii="仿宋_GB2312" w:hAnsi="仿宋_GB2312" w:eastAsia="仿宋_GB2312"/>
          <w:b/>
          <w:sz w:val="32"/>
        </w:rPr>
        <w:t>2024年度一般公共预算财政拨款支出174.71万元，</w:t>
      </w:r>
      <w:r>
        <w:rPr>
          <w:rFonts w:ascii="仿宋_GB2312" w:hAnsi="仿宋_GB2312" w:eastAsia="仿宋_GB2312"/>
          <w:b w:val="0"/>
          <w:sz w:val="32"/>
        </w:rPr>
        <w:t>占本年支出合计的96.41%。</w:t>
      </w:r>
      <w:r>
        <w:rPr>
          <w:rFonts w:ascii="仿宋_GB2312" w:hAnsi="仿宋_GB2312" w:eastAsia="仿宋_GB2312"/>
          <w:b/>
          <w:sz w:val="32"/>
        </w:rPr>
        <w:t>与上年相比，</w:t>
      </w:r>
      <w:r>
        <w:rPr>
          <w:rFonts w:ascii="仿宋_GB2312" w:hAnsi="仿宋_GB2312" w:eastAsia="仿宋_GB2312"/>
          <w:b w:val="0"/>
          <w:sz w:val="32"/>
        </w:rPr>
        <w:t>减少327.43万元，下降65.21%，主要原因是：本年减少新型农业经营主体提升技术应用和生产经营能力项目、中央农业经营主体能力提升资金</w:t>
      </w:r>
      <w:r>
        <w:rPr>
          <w:rFonts w:hint="eastAsia" w:ascii="仿宋_GB2312" w:hAnsi="仿宋_GB2312" w:eastAsia="仿宋_GB2312"/>
          <w:b w:val="0"/>
          <w:sz w:val="32"/>
          <w:lang w:eastAsia="zh-CN"/>
        </w:rPr>
        <w:t>、</w:t>
      </w:r>
      <w:r>
        <w:rPr>
          <w:rFonts w:ascii="仿宋_GB2312" w:hAnsi="仿宋_GB2312" w:eastAsia="仿宋_GB2312"/>
          <w:b w:val="0"/>
          <w:sz w:val="32"/>
        </w:rPr>
        <w:t>农牧民技术人员培训工作经</w:t>
      </w:r>
      <w:r>
        <w:rPr>
          <w:rFonts w:hint="eastAsia" w:ascii="仿宋_GB2312" w:hAnsi="仿宋_GB2312" w:eastAsia="仿宋_GB2312"/>
          <w:b w:val="0"/>
          <w:sz w:val="32"/>
          <w:lang w:val="en-US" w:eastAsia="zh-CN"/>
        </w:rPr>
        <w:t>费</w:t>
      </w:r>
      <w:r>
        <w:rPr>
          <w:rFonts w:ascii="仿宋_GB2312" w:hAnsi="仿宋_GB2312" w:eastAsia="仿宋_GB2312"/>
          <w:b w:val="0"/>
          <w:sz w:val="32"/>
        </w:rPr>
        <w:t>。</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年初预算数465.47万元，决算数174.71万元，预决算差异率-62.47%，主要原因是：年中调减中央农业经营主体能力提升资金，导致预决算差异。</w:t>
      </w:r>
    </w:p>
    <w:p w14:paraId="2BF3C8BF">
      <w:pPr>
        <w:spacing w:line="640" w:lineRule="exact"/>
        <w:ind w:firstLine="640"/>
        <w:jc w:val="both"/>
        <w:outlineLvl w:val="3"/>
      </w:pPr>
      <w:r>
        <w:rPr>
          <w:rFonts w:ascii="楷体_GB2312" w:hAnsi="楷体_GB2312" w:eastAsia="楷体_GB2312"/>
          <w:b/>
          <w:sz w:val="32"/>
        </w:rPr>
        <w:t>（二）一般公共预算财政拨款支出决算结构情况</w:t>
      </w:r>
    </w:p>
    <w:p w14:paraId="59A719B7">
      <w:pPr>
        <w:spacing w:line="580" w:lineRule="exact"/>
        <w:ind w:firstLine="640"/>
        <w:jc w:val="both"/>
      </w:pPr>
      <w:r>
        <w:rPr>
          <w:rFonts w:ascii="仿宋_GB2312" w:hAnsi="仿宋_GB2312" w:eastAsia="仿宋_GB2312"/>
          <w:b w:val="0"/>
          <w:sz w:val="32"/>
        </w:rPr>
        <w:t>1.社会保障和就业支出(类)33.24万元</w:t>
      </w:r>
      <w:r>
        <w:rPr>
          <w:rFonts w:hint="eastAsia" w:ascii="仿宋_GB2312" w:hAnsi="仿宋_GB2312" w:eastAsia="仿宋_GB2312"/>
          <w:b w:val="0"/>
          <w:sz w:val="32"/>
          <w:lang w:eastAsia="zh-CN"/>
        </w:rPr>
        <w:t>，</w:t>
      </w:r>
      <w:r>
        <w:rPr>
          <w:rFonts w:ascii="仿宋_GB2312" w:hAnsi="仿宋_GB2312" w:eastAsia="仿宋_GB2312"/>
          <w:b w:val="0"/>
          <w:sz w:val="32"/>
        </w:rPr>
        <w:t>占19.03%。</w:t>
      </w:r>
    </w:p>
    <w:p w14:paraId="3292701A">
      <w:pPr>
        <w:spacing w:line="580" w:lineRule="exact"/>
        <w:ind w:firstLine="640"/>
        <w:jc w:val="both"/>
      </w:pPr>
      <w:r>
        <w:rPr>
          <w:rFonts w:ascii="仿宋_GB2312" w:hAnsi="仿宋_GB2312" w:eastAsia="仿宋_GB2312"/>
          <w:b w:val="0"/>
          <w:sz w:val="32"/>
        </w:rPr>
        <w:t>2.卫生健康支出(类)7.47万元</w:t>
      </w:r>
      <w:r>
        <w:rPr>
          <w:rFonts w:hint="eastAsia" w:ascii="仿宋_GB2312" w:hAnsi="仿宋_GB2312" w:eastAsia="仿宋_GB2312"/>
          <w:b w:val="0"/>
          <w:sz w:val="32"/>
          <w:lang w:eastAsia="zh-CN"/>
        </w:rPr>
        <w:t>，</w:t>
      </w:r>
      <w:r>
        <w:rPr>
          <w:rFonts w:ascii="仿宋_GB2312" w:hAnsi="仿宋_GB2312" w:eastAsia="仿宋_GB2312"/>
          <w:b w:val="0"/>
          <w:sz w:val="32"/>
        </w:rPr>
        <w:t>占4.28%。</w:t>
      </w:r>
    </w:p>
    <w:p w14:paraId="70E50B82">
      <w:pPr>
        <w:spacing w:line="580" w:lineRule="exact"/>
        <w:ind w:firstLine="640"/>
        <w:jc w:val="both"/>
      </w:pPr>
      <w:r>
        <w:rPr>
          <w:rFonts w:ascii="仿宋_GB2312" w:hAnsi="仿宋_GB2312" w:eastAsia="仿宋_GB2312"/>
          <w:b w:val="0"/>
          <w:sz w:val="32"/>
        </w:rPr>
        <w:t>3.农林水支出(类)119.82万元</w:t>
      </w:r>
      <w:r>
        <w:rPr>
          <w:rFonts w:hint="eastAsia" w:ascii="仿宋_GB2312" w:hAnsi="仿宋_GB2312" w:eastAsia="仿宋_GB2312"/>
          <w:b w:val="0"/>
          <w:sz w:val="32"/>
          <w:lang w:eastAsia="zh-CN"/>
        </w:rPr>
        <w:t>，</w:t>
      </w:r>
      <w:r>
        <w:rPr>
          <w:rFonts w:ascii="仿宋_GB2312" w:hAnsi="仿宋_GB2312" w:eastAsia="仿宋_GB2312"/>
          <w:b w:val="0"/>
          <w:sz w:val="32"/>
        </w:rPr>
        <w:t>占68.58%。</w:t>
      </w:r>
    </w:p>
    <w:p w14:paraId="0742C3C1">
      <w:pPr>
        <w:spacing w:line="580" w:lineRule="exact"/>
        <w:ind w:firstLine="640"/>
        <w:jc w:val="both"/>
      </w:pPr>
      <w:r>
        <w:rPr>
          <w:rFonts w:ascii="仿宋_GB2312" w:hAnsi="仿宋_GB2312" w:eastAsia="仿宋_GB2312"/>
          <w:b w:val="0"/>
          <w:sz w:val="32"/>
        </w:rPr>
        <w:t>4.住房保障支出(类)12.17万元</w:t>
      </w:r>
      <w:r>
        <w:rPr>
          <w:rFonts w:hint="eastAsia" w:ascii="仿宋_GB2312" w:hAnsi="仿宋_GB2312" w:eastAsia="仿宋_GB2312"/>
          <w:b w:val="0"/>
          <w:sz w:val="32"/>
          <w:lang w:eastAsia="zh-CN"/>
        </w:rPr>
        <w:t>，</w:t>
      </w:r>
      <w:r>
        <w:rPr>
          <w:rFonts w:ascii="仿宋_GB2312" w:hAnsi="仿宋_GB2312" w:eastAsia="仿宋_GB2312"/>
          <w:b w:val="0"/>
          <w:sz w:val="32"/>
        </w:rPr>
        <w:t>占6.97%。</w:t>
      </w:r>
    </w:p>
    <w:p w14:paraId="39A9C981">
      <w:pPr>
        <w:spacing w:line="580" w:lineRule="exact"/>
        <w:ind w:firstLine="640"/>
        <w:jc w:val="both"/>
      </w:pPr>
      <w:r>
        <w:rPr>
          <w:rFonts w:ascii="仿宋_GB2312" w:hAnsi="仿宋_GB2312" w:eastAsia="仿宋_GB2312"/>
          <w:b w:val="0"/>
          <w:sz w:val="32"/>
        </w:rPr>
        <w:t>5.其他支出(类)2.00万元</w:t>
      </w:r>
      <w:r>
        <w:rPr>
          <w:rFonts w:hint="eastAsia" w:ascii="仿宋_GB2312" w:hAnsi="仿宋_GB2312" w:eastAsia="仿宋_GB2312"/>
          <w:b w:val="0"/>
          <w:sz w:val="32"/>
          <w:lang w:eastAsia="zh-CN"/>
        </w:rPr>
        <w:t>，</w:t>
      </w:r>
      <w:r>
        <w:rPr>
          <w:rFonts w:ascii="仿宋_GB2312" w:hAnsi="仿宋_GB2312" w:eastAsia="仿宋_GB2312"/>
          <w:b w:val="0"/>
          <w:sz w:val="32"/>
        </w:rPr>
        <w:t>占1.14%。</w:t>
      </w:r>
    </w:p>
    <w:p w14:paraId="29BC7279">
      <w:pPr>
        <w:spacing w:line="640" w:lineRule="exact"/>
        <w:ind w:firstLine="640"/>
        <w:jc w:val="both"/>
        <w:outlineLvl w:val="3"/>
      </w:pPr>
      <w:r>
        <w:rPr>
          <w:rFonts w:ascii="楷体_GB2312" w:hAnsi="楷体_GB2312" w:eastAsia="楷体_GB2312"/>
          <w:b/>
          <w:sz w:val="32"/>
        </w:rPr>
        <w:t>（三）一般公共预算财政拨款支出决算具体情况</w:t>
      </w:r>
    </w:p>
    <w:p w14:paraId="5D127E86">
      <w:pPr>
        <w:spacing w:line="580" w:lineRule="exact"/>
        <w:ind w:firstLine="640"/>
        <w:jc w:val="both"/>
      </w:pPr>
      <w:r>
        <w:rPr>
          <w:rFonts w:ascii="仿宋_GB2312" w:hAnsi="仿宋_GB2312" w:eastAsia="仿宋_GB2312"/>
          <w:b w:val="0"/>
          <w:sz w:val="32"/>
        </w:rPr>
        <w:t>1.社会保障和就业支出(类)行政事业单位养老支出(款)行政单位离退休(项)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支出决算数为7.29万元，比上年决算增加1.61万元，增长28.35%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主要原因是：本年退休人员增加，退休费支出增加。</w:t>
      </w:r>
    </w:p>
    <w:p w14:paraId="5EA194C7">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支出决算数为15.86万元，比上年决算增加1.52万元，增长10.60%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主要原因是：本年在职人员工资基数调增，养老缴费基数上涨，相应支出增加。</w:t>
      </w:r>
    </w:p>
    <w:p w14:paraId="5B2F4D0B">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支出决算数为10.09万元，比上年决算增加10.09万元，增长100.00%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主要原因是：本年新增退休人员，职业年金缴费支出增加。</w:t>
      </w:r>
    </w:p>
    <w:p w14:paraId="03D8F506">
      <w:pPr>
        <w:spacing w:line="580" w:lineRule="exact"/>
        <w:ind w:firstLine="640"/>
        <w:jc w:val="both"/>
      </w:pPr>
      <w:r>
        <w:rPr>
          <w:rFonts w:ascii="仿宋_GB2312" w:hAnsi="仿宋_GB2312" w:eastAsia="仿宋_GB2312"/>
          <w:b w:val="0"/>
          <w:sz w:val="32"/>
        </w:rPr>
        <w:t>4.卫生健康支出(类)行政事业单位医疗(款)行政单位医疗(项)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支出决算数为7.47万元，比上年决算增加1.56万元，增长26.40%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14:paraId="3537071B">
      <w:pPr>
        <w:spacing w:line="580" w:lineRule="exact"/>
        <w:ind w:firstLine="640"/>
        <w:jc w:val="both"/>
      </w:pPr>
      <w:r>
        <w:rPr>
          <w:rFonts w:ascii="仿宋_GB2312" w:hAnsi="仿宋_GB2312" w:eastAsia="仿宋_GB2312"/>
          <w:b w:val="0"/>
          <w:sz w:val="32"/>
        </w:rPr>
        <w:t>5.卫生健康支出(类)行政事业单位医疗(款)事业单位医疗(项)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支出决算数为0.00万元，比上年决算减少0.05万元，下降100.00%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主要原因是：本年事业人员调出，相关经费减少。</w:t>
      </w:r>
    </w:p>
    <w:p w14:paraId="44BDAAE5">
      <w:pPr>
        <w:spacing w:line="580" w:lineRule="exact"/>
        <w:ind w:firstLine="640"/>
        <w:jc w:val="both"/>
      </w:pPr>
      <w:r>
        <w:rPr>
          <w:rFonts w:ascii="仿宋_GB2312" w:hAnsi="仿宋_GB2312" w:eastAsia="仿宋_GB2312"/>
          <w:b w:val="0"/>
          <w:sz w:val="32"/>
        </w:rPr>
        <w:t>6.农林水支出(类)农业农村(款)行政运行(项)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支出决算数为116.50万元，比上年决算减少5.03万元，下降4.14%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w:t>
      </w:r>
      <w:r>
        <w:rPr>
          <w:rFonts w:hint="eastAsia" w:ascii="仿宋_GB2312" w:hAnsi="仿宋_GB2312" w:eastAsia="仿宋_GB2312"/>
          <w:b w:val="0"/>
          <w:sz w:val="32"/>
          <w:lang w:val="en-US" w:eastAsia="zh-CN"/>
        </w:rPr>
        <w:t>存在</w:t>
      </w:r>
      <w:r>
        <w:rPr>
          <w:rFonts w:ascii="仿宋_GB2312" w:hAnsi="仿宋_GB2312" w:eastAsia="仿宋_GB2312"/>
          <w:b w:val="0"/>
          <w:sz w:val="32"/>
        </w:rPr>
        <w:t>调入</w:t>
      </w:r>
      <w:r>
        <w:rPr>
          <w:rFonts w:hint="eastAsia" w:ascii="仿宋_GB2312" w:hAnsi="仿宋_GB2312" w:eastAsia="仿宋_GB2312"/>
          <w:b w:val="0"/>
          <w:sz w:val="32"/>
          <w:lang w:val="en-US" w:eastAsia="zh-CN"/>
        </w:rPr>
        <w:t>人员，退休人员</w:t>
      </w:r>
      <w:r>
        <w:rPr>
          <w:rFonts w:ascii="仿宋_GB2312" w:hAnsi="仿宋_GB2312" w:eastAsia="仿宋_GB2312"/>
          <w:b w:val="0"/>
          <w:sz w:val="32"/>
        </w:rPr>
        <w:t>，人员职级不同，工资基数不同，导致人员经费较上年减少。</w:t>
      </w:r>
    </w:p>
    <w:p w14:paraId="346EE054">
      <w:pPr>
        <w:spacing w:line="580" w:lineRule="exact"/>
        <w:ind w:firstLine="640"/>
        <w:jc w:val="both"/>
      </w:pPr>
      <w:r>
        <w:rPr>
          <w:rFonts w:ascii="仿宋_GB2312" w:hAnsi="仿宋_GB2312" w:eastAsia="仿宋_GB2312"/>
          <w:b w:val="0"/>
          <w:sz w:val="32"/>
        </w:rPr>
        <w:t>7.农林水支出(类)农业农村(款)事业运行(项)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支出决算数为0.00万元，比上年决算减少1.44万元，下降100.00%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主要原因是：本年事业人员调出，相关经费减少。</w:t>
      </w:r>
    </w:p>
    <w:p w14:paraId="65DB37B2">
      <w:pPr>
        <w:spacing w:line="580" w:lineRule="exact"/>
        <w:ind w:firstLine="640"/>
        <w:jc w:val="both"/>
      </w:pPr>
      <w:r>
        <w:rPr>
          <w:rFonts w:ascii="仿宋_GB2312" w:hAnsi="仿宋_GB2312" w:eastAsia="仿宋_GB2312"/>
          <w:b w:val="0"/>
          <w:sz w:val="32"/>
        </w:rPr>
        <w:t>8.农林水支出(类)农业农村(款)农业生产发展(项)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支出决算数为0.00万元，比上年决算减少185.08万元，下降100.00%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主要原因是：本年减少新型农业经营主体提升技术应用和生产经营能力项目、中央农业经营主体能力提升资金。</w:t>
      </w:r>
    </w:p>
    <w:p w14:paraId="74AA506D">
      <w:pPr>
        <w:spacing w:line="580" w:lineRule="exact"/>
        <w:ind w:firstLine="640"/>
        <w:jc w:val="both"/>
      </w:pPr>
      <w:r>
        <w:rPr>
          <w:rFonts w:ascii="仿宋_GB2312" w:hAnsi="仿宋_GB2312" w:eastAsia="仿宋_GB2312"/>
          <w:b w:val="0"/>
          <w:sz w:val="32"/>
        </w:rPr>
        <w:t>9.农林水支出(类)农业农村(款)农村合作经济(项)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支出决算数为3.32万元，比上年决算减少151.68万元，下降97.86%</w:t>
      </w:r>
      <w:r>
        <w:rPr>
          <w:rFonts w:hint="eastAsia" w:ascii="仿宋_GB2312" w:hAnsi="仿宋_GB2312" w:eastAsia="仿宋_GB2312"/>
          <w:b w:val="0"/>
          <w:sz w:val="32"/>
          <w:lang w:eastAsia="zh-CN"/>
        </w:rPr>
        <w:t>，</w:t>
      </w:r>
      <w:r>
        <w:rPr>
          <w:rFonts w:ascii="仿宋_GB2312" w:hAnsi="仿宋_GB2312" w:eastAsia="仿宋_GB2312"/>
          <w:b w:val="0"/>
          <w:sz w:val="32"/>
        </w:rPr>
        <w:t>主要原因是：2024年农牧民技术人员培训工作经</w:t>
      </w:r>
      <w:r>
        <w:rPr>
          <w:rFonts w:hint="eastAsia" w:ascii="仿宋_GB2312" w:hAnsi="仿宋_GB2312" w:eastAsia="仿宋_GB2312"/>
          <w:b w:val="0"/>
          <w:sz w:val="32"/>
          <w:lang w:val="en-US" w:eastAsia="zh-CN"/>
        </w:rPr>
        <w:t>费</w:t>
      </w:r>
      <w:r>
        <w:rPr>
          <w:rFonts w:ascii="仿宋_GB2312" w:hAnsi="仿宋_GB2312" w:eastAsia="仿宋_GB2312"/>
          <w:b w:val="0"/>
          <w:sz w:val="32"/>
        </w:rPr>
        <w:t>减少。</w:t>
      </w:r>
    </w:p>
    <w:p w14:paraId="567DB7A6">
      <w:pPr>
        <w:spacing w:line="580" w:lineRule="exact"/>
        <w:ind w:firstLine="640"/>
        <w:jc w:val="both"/>
      </w:pPr>
      <w:r>
        <w:rPr>
          <w:rFonts w:ascii="仿宋_GB2312" w:hAnsi="仿宋_GB2312" w:eastAsia="仿宋_GB2312"/>
          <w:b w:val="0"/>
          <w:sz w:val="32"/>
        </w:rPr>
        <w:t>10.农林水支出(类)农业农村(款)其他农业农村支出(项)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主要原因是：本年功能科目调整，为民办实事工作经费上年度在其他农业农村支出列支，本年其他支出列支，导致经费较上年减少。</w:t>
      </w:r>
    </w:p>
    <w:p w14:paraId="627E53CA">
      <w:pPr>
        <w:spacing w:line="580" w:lineRule="exact"/>
        <w:ind w:firstLine="640"/>
        <w:jc w:val="both"/>
      </w:pPr>
      <w:r>
        <w:rPr>
          <w:rFonts w:ascii="仿宋_GB2312" w:hAnsi="仿宋_GB2312" w:eastAsia="仿宋_GB2312"/>
          <w:b w:val="0"/>
          <w:sz w:val="32"/>
        </w:rPr>
        <w:t>11.住房保障支出(类)住房改革支出(款)住房公积金(项)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支出决算数为12.17万元，比上年决算增加1.06万元，增长9.54%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主要原因是：本年在职人员工资基数调增，公积金缴费基数上涨，相应支出增加。</w:t>
      </w:r>
    </w:p>
    <w:p w14:paraId="2A366F06">
      <w:pPr>
        <w:spacing w:line="580" w:lineRule="exact"/>
        <w:ind w:firstLine="640"/>
        <w:jc w:val="both"/>
      </w:pPr>
      <w:r>
        <w:rPr>
          <w:rFonts w:ascii="仿宋_GB2312" w:hAnsi="仿宋_GB2312" w:eastAsia="仿宋_GB2312"/>
          <w:b w:val="0"/>
          <w:sz w:val="32"/>
        </w:rPr>
        <w:t>12.其他支出(类)其他支出(款)其他支出(项)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支出决算数为2.00万元，比上年决算增加2.00万元，增长100.00%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主要原因是：本年功能科目调整，为民办实事工作经费上年度在其他农业农村支出列支，本年其他支出列支，导致经费较上年增加。</w:t>
      </w:r>
    </w:p>
    <w:p w14:paraId="48183F4C">
      <w:pPr>
        <w:spacing w:line="640" w:lineRule="exact"/>
        <w:ind w:firstLine="640"/>
        <w:jc w:val="both"/>
        <w:outlineLvl w:val="2"/>
      </w:pPr>
      <w:r>
        <w:rPr>
          <w:rFonts w:ascii="黑体" w:hAnsi="黑体" w:eastAsia="黑体"/>
          <w:sz w:val="32"/>
        </w:rPr>
        <w:t>六、一般公共预算财政拨款基本支出决算情况说明</w:t>
      </w:r>
    </w:p>
    <w:p w14:paraId="4EAFDEBE">
      <w:pPr>
        <w:spacing w:line="580" w:lineRule="exact"/>
        <w:ind w:firstLine="640"/>
        <w:jc w:val="both"/>
      </w:pPr>
      <w:r>
        <w:rPr>
          <w:rFonts w:ascii="仿宋_GB2312" w:hAnsi="仿宋_GB2312" w:eastAsia="仿宋_GB2312"/>
          <w:b w:val="0"/>
          <w:sz w:val="32"/>
        </w:rPr>
        <w:t>2024年度一般公共预算财政拨款基本支出169.38万元，其中：</w:t>
      </w:r>
      <w:r>
        <w:rPr>
          <w:rFonts w:ascii="仿宋_GB2312" w:hAnsi="仿宋_GB2312" w:eastAsia="仿宋_GB2312"/>
          <w:b/>
          <w:sz w:val="32"/>
        </w:rPr>
        <w:t>人员经费166.24万元，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14:paraId="1BBB156C">
      <w:pPr>
        <w:spacing w:line="580" w:lineRule="exact"/>
        <w:ind w:firstLine="640"/>
        <w:jc w:val="both"/>
      </w:pPr>
      <w:r>
        <w:rPr>
          <w:rFonts w:ascii="仿宋_GB2312" w:hAnsi="仿宋_GB2312" w:eastAsia="仿宋_GB2312"/>
          <w:b/>
          <w:sz w:val="32"/>
        </w:rPr>
        <w:t>公用经费3.14万元，</w:t>
      </w:r>
      <w:r>
        <w:rPr>
          <w:rFonts w:ascii="仿宋_GB2312" w:hAnsi="仿宋_GB2312" w:eastAsia="仿宋_GB2312"/>
          <w:b w:val="0"/>
          <w:sz w:val="32"/>
        </w:rPr>
        <w:t>包括：办公费、公务用车运行维护费、其他交通费用。</w:t>
      </w:r>
    </w:p>
    <w:p w14:paraId="005363E5">
      <w:pPr>
        <w:spacing w:line="640" w:lineRule="exact"/>
        <w:ind w:firstLine="640"/>
        <w:jc w:val="both"/>
        <w:outlineLvl w:val="2"/>
      </w:pPr>
      <w:r>
        <w:rPr>
          <w:rFonts w:ascii="黑体" w:hAnsi="黑体" w:eastAsia="黑体"/>
          <w:sz w:val="32"/>
        </w:rPr>
        <w:t>七、政府性基金预算财政拨款收入支出决算情况说明</w:t>
      </w:r>
    </w:p>
    <w:p w14:paraId="0F5A9B42">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25FD36D">
      <w:pPr>
        <w:spacing w:line="640" w:lineRule="exact"/>
        <w:ind w:firstLine="640"/>
        <w:jc w:val="both"/>
        <w:outlineLvl w:val="2"/>
      </w:pPr>
      <w:r>
        <w:rPr>
          <w:rFonts w:ascii="黑体" w:hAnsi="黑体" w:eastAsia="黑体"/>
          <w:sz w:val="32"/>
        </w:rPr>
        <w:t>八、国有资本经营预算财政拨款收入支出决算情况说明</w:t>
      </w:r>
    </w:p>
    <w:p w14:paraId="47EE984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29892FE">
      <w:pPr>
        <w:spacing w:line="640" w:lineRule="exact"/>
        <w:ind w:firstLine="640"/>
        <w:jc w:val="both"/>
        <w:outlineLvl w:val="2"/>
      </w:pPr>
      <w:r>
        <w:rPr>
          <w:rFonts w:ascii="黑体" w:hAnsi="黑体" w:eastAsia="黑体"/>
          <w:sz w:val="32"/>
        </w:rPr>
        <w:t>九、财政拨款“三公”经费支出决算情况说明</w:t>
      </w:r>
    </w:p>
    <w:p w14:paraId="105A7E15">
      <w:pPr>
        <w:spacing w:line="580" w:lineRule="exact"/>
        <w:ind w:firstLine="640"/>
        <w:jc w:val="both"/>
      </w:pPr>
      <w:r>
        <w:rPr>
          <w:rFonts w:ascii="仿宋_GB2312" w:hAnsi="仿宋_GB2312" w:eastAsia="仿宋_GB2312"/>
          <w:b/>
          <w:sz w:val="32"/>
        </w:rPr>
        <w:t>2024年度财政拨款“三公”经费支出1.74万元，</w:t>
      </w:r>
      <w:r>
        <w:rPr>
          <w:rFonts w:ascii="仿宋_GB2312" w:hAnsi="仿宋_GB2312" w:eastAsia="仿宋_GB2312"/>
          <w:b w:val="0"/>
          <w:sz w:val="32"/>
        </w:rPr>
        <w:t>比上年增加1.74万元，增长100.00%，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1.74万元，占100.00%，比上年增加1.74万元，增长100.00%，主要原因是：本单位公务用车日渐老化，维修维护成本增加，导致公务用车运行维护费较上年增加。公务接待费支出0.00万元，占0.00%，比上年增加0.00万元，增长0.00%，主要原因是：2023年与2024年均未安排公务接待费支出。</w:t>
      </w:r>
    </w:p>
    <w:p w14:paraId="77517E20">
      <w:pPr>
        <w:spacing w:line="580" w:lineRule="exact"/>
        <w:ind w:firstLine="640"/>
        <w:jc w:val="both"/>
      </w:pPr>
      <w:r>
        <w:rPr>
          <w:rFonts w:ascii="仿宋_GB2312" w:hAnsi="仿宋_GB2312" w:eastAsia="仿宋_GB2312"/>
          <w:b/>
          <w:sz w:val="32"/>
        </w:rPr>
        <w:t>具体情况如下：</w:t>
      </w:r>
    </w:p>
    <w:p w14:paraId="40C54D5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E65DA6A">
      <w:pPr>
        <w:spacing w:line="580" w:lineRule="exact"/>
        <w:ind w:firstLine="640"/>
        <w:jc w:val="both"/>
      </w:pPr>
      <w:r>
        <w:rPr>
          <w:rFonts w:ascii="仿宋_GB2312" w:hAnsi="仿宋_GB2312" w:eastAsia="仿宋_GB2312"/>
          <w:b w:val="0"/>
          <w:sz w:val="32"/>
        </w:rPr>
        <w:t>公务用车购置及运行维护费1.74万元，其中：公务用车购置费0.00万元，公务用车运行维护费1.74万元。公务用车运行维护费开支内容包括车辆加油费、维修费、保险费、审车费。公务用车购置数0辆，公务用车保有量1辆。国有资产占用情况中固定资产车辆1辆，与公务用车保有量差异原因是：本单位固定资产车辆与公务用车保有量一致无差异。</w:t>
      </w:r>
    </w:p>
    <w:p w14:paraId="6C068B2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84240A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1.74万元，决算数1.74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1.74万元，决算数1.74万元，预决算差异率0.00%，主要原因是：严格按照预算执行，预决算无差异。公务接待费全年预算数0.00万元，决算数0.00万元，预决算差异率0.00%，主要原因是：本单位无公务接待费。</w:t>
      </w:r>
    </w:p>
    <w:p w14:paraId="10FFB3B4">
      <w:pPr>
        <w:spacing w:line="640" w:lineRule="exact"/>
        <w:ind w:firstLine="640"/>
        <w:jc w:val="both"/>
        <w:outlineLvl w:val="2"/>
      </w:pPr>
      <w:r>
        <w:rPr>
          <w:rFonts w:ascii="黑体" w:hAnsi="黑体" w:eastAsia="黑体"/>
          <w:sz w:val="32"/>
        </w:rPr>
        <w:t>十、其他重要事项的情况说明</w:t>
      </w:r>
    </w:p>
    <w:p w14:paraId="63E88D70">
      <w:pPr>
        <w:spacing w:line="640" w:lineRule="exact"/>
        <w:ind w:firstLine="640"/>
        <w:jc w:val="both"/>
        <w:outlineLvl w:val="3"/>
      </w:pPr>
      <w:r>
        <w:rPr>
          <w:rFonts w:ascii="楷体_GB2312" w:hAnsi="楷体_GB2312" w:eastAsia="楷体_GB2312"/>
          <w:b/>
          <w:sz w:val="32"/>
        </w:rPr>
        <w:t>（一）机关运行经费及公用经费支出情况</w:t>
      </w:r>
    </w:p>
    <w:p w14:paraId="2845E70A">
      <w:pPr>
        <w:spacing w:line="580" w:lineRule="exact"/>
        <w:ind w:firstLine="640"/>
        <w:jc w:val="both"/>
      </w:pPr>
      <w:r>
        <w:rPr>
          <w:rFonts w:ascii="仿宋_GB2312" w:hAnsi="仿宋_GB2312" w:eastAsia="仿宋_GB2312"/>
          <w:b w:val="0"/>
          <w:sz w:val="32"/>
        </w:rPr>
        <w:t>2024年度阿克陶县农村合作经济经营管理服务中心（行政单位和参照公务员法管理事业单位）机关运行经费支出3.14万元，比上年增加0.04万元，增长1.29%，主要原因是：本年业务量增加，机关运行经费增加。</w:t>
      </w:r>
    </w:p>
    <w:p w14:paraId="0A0BAD4F">
      <w:pPr>
        <w:spacing w:line="640" w:lineRule="exact"/>
        <w:ind w:firstLine="640"/>
        <w:jc w:val="both"/>
        <w:outlineLvl w:val="3"/>
      </w:pPr>
      <w:r>
        <w:rPr>
          <w:rFonts w:ascii="楷体_GB2312" w:hAnsi="楷体_GB2312" w:eastAsia="楷体_GB2312"/>
          <w:b/>
          <w:sz w:val="32"/>
        </w:rPr>
        <w:t>（二）政府采购情况</w:t>
      </w:r>
    </w:p>
    <w:p w14:paraId="67FF95F9">
      <w:pPr>
        <w:spacing w:line="580" w:lineRule="exact"/>
        <w:ind w:firstLine="640"/>
        <w:jc w:val="both"/>
      </w:pPr>
      <w:r>
        <w:rPr>
          <w:rFonts w:ascii="仿宋_GB2312" w:hAnsi="仿宋_GB2312" w:eastAsia="仿宋_GB2312"/>
          <w:b w:val="0"/>
          <w:sz w:val="32"/>
        </w:rPr>
        <w:t>2024年度政府采购支出总额1.29万元，其中：政府采购货物支出0.00万元、政府采购工程支出0.00万元、政府采购服务支出1.29万元。</w:t>
      </w:r>
    </w:p>
    <w:p w14:paraId="1FA7924A">
      <w:pPr>
        <w:spacing w:line="580" w:lineRule="exact"/>
        <w:ind w:firstLine="640"/>
        <w:jc w:val="both"/>
      </w:pPr>
      <w:r>
        <w:rPr>
          <w:rFonts w:ascii="仿宋_GB2312" w:hAnsi="仿宋_GB2312" w:eastAsia="仿宋_GB2312"/>
          <w:b w:val="0"/>
          <w:sz w:val="32"/>
        </w:rPr>
        <w:t>授予中小企业合同金额0.41万元，占政府采购支出总额的31.78%，其中：授予小微企业合同金额0.41万元，占政府采购支出总额的31.78%。</w:t>
      </w:r>
    </w:p>
    <w:p w14:paraId="145577CE">
      <w:pPr>
        <w:spacing w:line="640" w:lineRule="exact"/>
        <w:ind w:firstLine="640"/>
        <w:jc w:val="both"/>
        <w:outlineLvl w:val="3"/>
      </w:pPr>
      <w:r>
        <w:rPr>
          <w:rFonts w:ascii="楷体_GB2312" w:hAnsi="楷体_GB2312" w:eastAsia="楷体_GB2312"/>
          <w:b/>
          <w:sz w:val="32"/>
        </w:rPr>
        <w:t>（三）国有资产占用情况说明</w:t>
      </w:r>
    </w:p>
    <w:p w14:paraId="60F08A8C">
      <w:pPr>
        <w:spacing w:line="580" w:lineRule="exact"/>
        <w:ind w:firstLine="640"/>
        <w:jc w:val="both"/>
      </w:pPr>
      <w:r>
        <w:rPr>
          <w:rFonts w:ascii="仿宋_GB2312" w:hAnsi="仿宋_GB2312" w:eastAsia="仿宋_GB2312"/>
          <w:b w:val="0"/>
          <w:sz w:val="32"/>
        </w:rPr>
        <w:t>截至2024年12月31日，房屋0.00平方米，价值0.00万元。车辆1辆，价值14.37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46082D5E">
      <w:pPr>
        <w:spacing w:line="640" w:lineRule="exact"/>
        <w:ind w:firstLine="640"/>
        <w:jc w:val="both"/>
        <w:outlineLvl w:val="2"/>
      </w:pPr>
      <w:r>
        <w:rPr>
          <w:rFonts w:ascii="黑体" w:hAnsi="黑体" w:eastAsia="黑体"/>
          <w:sz w:val="32"/>
        </w:rPr>
        <w:t>十一、预算绩效的情况说明</w:t>
      </w:r>
    </w:p>
    <w:p w14:paraId="4BE1B7D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217.12万元，实际执行总额181.21万元；预算绩效评价项目0个，全年预算数0.00万元，全年执行数0.00万元。预算绩效管理取得的成效：一是绩效管理融入预算编制、执行、监督全过程</w:t>
      </w:r>
      <w:r>
        <w:rPr>
          <w:rFonts w:hint="eastAsia" w:ascii="仿宋_GB2312" w:hAnsi="仿宋_GB2312" w:eastAsia="仿宋_GB2312"/>
          <w:b w:val="0"/>
          <w:sz w:val="32"/>
          <w:lang w:eastAsia="zh-CN"/>
        </w:rPr>
        <w:t>中</w:t>
      </w:r>
      <w:r>
        <w:rPr>
          <w:rFonts w:ascii="仿宋_GB2312" w:hAnsi="仿宋_GB2312" w:eastAsia="仿宋_GB2312"/>
          <w:b w:val="0"/>
          <w:sz w:val="32"/>
        </w:rPr>
        <w:t>，更有利于强化绩效目标的管理，加强监控结果的应用，对本单位对财务工作的进一步监督提供有效数据支撑；二是绩效结果的运用较大程度</w:t>
      </w:r>
      <w:r>
        <w:rPr>
          <w:rFonts w:hint="eastAsia" w:ascii="仿宋_GB2312" w:hAnsi="仿宋_GB2312" w:eastAsia="仿宋_GB2312"/>
          <w:b w:val="0"/>
          <w:sz w:val="32"/>
          <w:lang w:eastAsia="zh-CN"/>
        </w:rPr>
        <w:t>地</w:t>
      </w:r>
      <w:r>
        <w:rPr>
          <w:rFonts w:ascii="仿宋_GB2312" w:hAnsi="仿宋_GB2312" w:eastAsia="仿宋_GB2312"/>
          <w:b w:val="0"/>
          <w:sz w:val="32"/>
        </w:rPr>
        <w:t>推进完善政策制度、加强资金利用、增强各环节工作透明度等方面的工作，对本单位财务工作的管控提供有力抓手。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加强学习，进一步明确如何参照考核体系，科学合理设定绩效目标，充分发挥预算绩效管理工作效用；二是</w:t>
      </w:r>
      <w:r>
        <w:rPr>
          <w:rFonts w:hint="eastAsia" w:ascii="仿宋_GB2312" w:hAnsi="仿宋_GB2312" w:eastAsia="仿宋_GB2312"/>
          <w:b w:val="0"/>
          <w:sz w:val="32"/>
          <w:lang w:eastAsia="zh-CN"/>
        </w:rPr>
        <w:t>财务</w:t>
      </w:r>
      <w:r>
        <w:rPr>
          <w:rFonts w:ascii="仿宋_GB2312" w:hAnsi="仿宋_GB2312" w:eastAsia="仿宋_GB2312"/>
          <w:b w:val="0"/>
          <w:sz w:val="32"/>
        </w:rPr>
        <w:t>会计核算要更加详细，为本单位各项工作的开展、总结、评估提供有效数据资料支撑</w:t>
      </w:r>
      <w:r>
        <w:rPr>
          <w:rFonts w:hint="eastAsia" w:ascii="仿宋_GB2312" w:hAnsi="仿宋_GB2312" w:eastAsia="仿宋_GB2312"/>
          <w:b w:val="0"/>
          <w:sz w:val="32"/>
          <w:lang w:eastAsia="zh-CN"/>
        </w:rPr>
        <w:t>，</w:t>
      </w:r>
      <w:r>
        <w:rPr>
          <w:rFonts w:ascii="仿宋_GB2312" w:hAnsi="仿宋_GB2312" w:eastAsia="仿宋_GB2312"/>
          <w:b w:val="0"/>
          <w:sz w:val="32"/>
        </w:rPr>
        <w:t>为各项业务工作</w:t>
      </w:r>
      <w:r>
        <w:rPr>
          <w:rFonts w:hint="eastAsia" w:ascii="仿宋_GB2312" w:hAnsi="仿宋_GB2312" w:eastAsia="仿宋_GB2312"/>
          <w:b w:val="0"/>
          <w:sz w:val="32"/>
          <w:lang w:eastAsia="zh-CN"/>
        </w:rPr>
        <w:t>更好地</w:t>
      </w:r>
      <w:r>
        <w:rPr>
          <w:rFonts w:ascii="仿宋_GB2312" w:hAnsi="仿宋_GB2312" w:eastAsia="仿宋_GB2312"/>
          <w:b w:val="0"/>
          <w:sz w:val="32"/>
        </w:rPr>
        <w:t>开展提供帮助</w:t>
      </w:r>
      <w:r>
        <w:rPr>
          <w:rFonts w:hint="eastAsia" w:ascii="仿宋_GB2312" w:hAnsi="仿宋_GB2312" w:eastAsia="仿宋_GB2312"/>
          <w:b w:val="0"/>
          <w:sz w:val="32"/>
          <w:lang w:eastAsia="zh-CN"/>
        </w:rPr>
        <w:t>；</w:t>
      </w:r>
      <w:r>
        <w:rPr>
          <w:rFonts w:ascii="仿宋_GB2312" w:hAnsi="仿宋_GB2312" w:eastAsia="仿宋_GB2312"/>
          <w:b w:val="0"/>
          <w:sz w:val="32"/>
        </w:rPr>
        <w:t>三是从源头上强化对专项资金预算管理，实行专项资金预算管理，结合单位实际</w:t>
      </w:r>
      <w:r>
        <w:rPr>
          <w:rFonts w:hint="eastAsia" w:ascii="仿宋_GB2312" w:hAnsi="仿宋_GB2312" w:eastAsia="仿宋_GB2312"/>
          <w:b w:val="0"/>
          <w:sz w:val="32"/>
          <w:lang w:eastAsia="zh-CN"/>
        </w:rPr>
        <w:t>，</w:t>
      </w:r>
      <w:r>
        <w:rPr>
          <w:rFonts w:ascii="仿宋_GB2312" w:hAnsi="仿宋_GB2312" w:eastAsia="仿宋_GB2312"/>
          <w:b w:val="0"/>
          <w:sz w:val="32"/>
        </w:rPr>
        <w:t>按轻重缓急统筹安排编制预算</w:t>
      </w:r>
      <w:r>
        <w:rPr>
          <w:rFonts w:hint="eastAsia" w:ascii="仿宋_GB2312" w:hAnsi="仿宋_GB2312" w:eastAsia="仿宋_GB2312"/>
          <w:b w:val="0"/>
          <w:sz w:val="32"/>
          <w:lang w:eastAsia="zh-CN"/>
        </w:rPr>
        <w:t>，</w:t>
      </w:r>
      <w:r>
        <w:rPr>
          <w:rFonts w:ascii="仿宋_GB2312" w:hAnsi="仿宋_GB2312" w:eastAsia="仿宋_GB2312"/>
          <w:b w:val="0"/>
          <w:sz w:val="32"/>
        </w:rPr>
        <w:t>提高预算编制科学性和合理性，优化资金结构。具体附整体支出绩效自评表。</w:t>
      </w:r>
    </w:p>
    <w:p w14:paraId="4499608F">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D89C435">
        <w:tblPrEx>
          <w:tblCellMar>
            <w:top w:w="0" w:type="dxa"/>
            <w:left w:w="108" w:type="dxa"/>
            <w:bottom w:w="0" w:type="dxa"/>
            <w:right w:w="108" w:type="dxa"/>
          </w:tblCellMar>
        </w:tblPrEx>
        <w:tc>
          <w:tcPr>
            <w:tcW w:w="8840" w:type="dxa"/>
            <w:gridSpan w:val="8"/>
            <w:vAlign w:val="center"/>
          </w:tcPr>
          <w:p w14:paraId="36D90B0D">
            <w:pPr>
              <w:jc w:val="center"/>
            </w:pPr>
            <w:r>
              <w:rPr>
                <w:rFonts w:ascii="宋体" w:hAnsi="宋体" w:eastAsia="宋体"/>
                <w:sz w:val="24"/>
              </w:rPr>
              <w:t>单位整体支出绩效自评表</w:t>
            </w:r>
          </w:p>
        </w:tc>
      </w:tr>
      <w:tr w14:paraId="0112FCE7">
        <w:tblPrEx>
          <w:tblCellMar>
            <w:top w:w="0" w:type="dxa"/>
            <w:left w:w="108" w:type="dxa"/>
            <w:bottom w:w="0" w:type="dxa"/>
            <w:right w:w="108" w:type="dxa"/>
          </w:tblCellMar>
        </w:tblPrEx>
        <w:tc>
          <w:tcPr>
            <w:tcW w:w="8840" w:type="dxa"/>
            <w:gridSpan w:val="8"/>
            <w:vAlign w:val="center"/>
          </w:tcPr>
          <w:p w14:paraId="5CD95B2B">
            <w:pPr>
              <w:jc w:val="center"/>
            </w:pPr>
            <w:r>
              <w:rPr>
                <w:rFonts w:ascii="宋体" w:hAnsi="宋体" w:eastAsia="宋体"/>
                <w:sz w:val="24"/>
              </w:rPr>
              <w:t>（2024年度）</w:t>
            </w:r>
          </w:p>
        </w:tc>
      </w:tr>
      <w:tr w14:paraId="60B4D62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A7119A">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135EFA">
            <w:pPr>
              <w:jc w:val="center"/>
            </w:pPr>
            <w:r>
              <w:rPr>
                <w:rFonts w:ascii="宋体" w:hAnsi="宋体" w:eastAsia="宋体"/>
                <w:sz w:val="16"/>
              </w:rPr>
              <w:t>阿克陶县农村合作经济经营管理服务中心</w:t>
            </w:r>
          </w:p>
        </w:tc>
      </w:tr>
      <w:tr w14:paraId="564B69C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4259CF">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05A02A">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412BE7">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EE810E">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608633">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86A69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00D875">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418F22">
            <w:pPr>
              <w:jc w:val="center"/>
            </w:pPr>
            <w:r>
              <w:rPr>
                <w:rFonts w:ascii="宋体" w:hAnsi="宋体" w:eastAsia="宋体"/>
                <w:sz w:val="16"/>
              </w:rPr>
              <w:t>得分</w:t>
            </w:r>
          </w:p>
        </w:tc>
      </w:tr>
      <w:tr w14:paraId="520B63D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83D88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BAA9C0">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5A9BF1">
            <w:pPr>
              <w:jc w:val="center"/>
            </w:pPr>
            <w:r>
              <w:rPr>
                <w:rFonts w:ascii="宋体" w:hAnsi="宋体" w:eastAsia="宋体"/>
                <w:sz w:val="16"/>
              </w:rPr>
              <w:t>465.47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BDC387">
            <w:pPr>
              <w:jc w:val="center"/>
            </w:pPr>
            <w:r>
              <w:rPr>
                <w:rFonts w:ascii="宋体" w:hAnsi="宋体" w:eastAsia="宋体"/>
                <w:sz w:val="16"/>
              </w:rPr>
              <w:t>217.12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1FE435">
            <w:pPr>
              <w:jc w:val="center"/>
            </w:pPr>
            <w:r>
              <w:rPr>
                <w:rFonts w:ascii="宋体" w:hAnsi="宋体" w:eastAsia="宋体"/>
                <w:sz w:val="16"/>
              </w:rPr>
              <w:t>181.21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09F40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DA64FE">
            <w:pPr>
              <w:jc w:val="center"/>
            </w:pPr>
            <w:r>
              <w:rPr>
                <w:rFonts w:ascii="宋体" w:hAnsi="宋体" w:eastAsia="宋体"/>
                <w:sz w:val="16"/>
              </w:rPr>
              <w:t>83.46%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39DCFF">
            <w:pPr>
              <w:jc w:val="center"/>
            </w:pPr>
            <w:r>
              <w:rPr>
                <w:rFonts w:ascii="宋体" w:hAnsi="宋体" w:eastAsia="宋体"/>
                <w:sz w:val="16"/>
              </w:rPr>
              <w:t>8.35</w:t>
            </w:r>
          </w:p>
        </w:tc>
      </w:tr>
      <w:tr w14:paraId="3947CA2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17503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B2D97C">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24BB2C">
            <w:pPr>
              <w:jc w:val="center"/>
            </w:pPr>
            <w:r>
              <w:rPr>
                <w:rFonts w:ascii="宋体" w:hAnsi="宋体" w:eastAsia="宋体"/>
                <w:sz w:val="16"/>
              </w:rPr>
              <w:t>290.00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0CF5EB">
            <w:pPr>
              <w:jc w:val="center"/>
            </w:pPr>
            <w:r>
              <w:rPr>
                <w:rFonts w:ascii="宋体" w:hAnsi="宋体" w:eastAsia="宋体"/>
                <w:sz w:val="16"/>
              </w:rPr>
              <w:t>47.58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04B302">
            <w:pPr>
              <w:jc w:val="center"/>
            </w:pPr>
            <w:r>
              <w:rPr>
                <w:rFonts w:ascii="宋体" w:hAnsi="宋体" w:eastAsia="宋体"/>
                <w:sz w:val="16"/>
              </w:rPr>
              <w:t>11.81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C5B63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5FDA5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5D0900">
            <w:pPr>
              <w:jc w:val="center"/>
            </w:pPr>
            <w:r>
              <w:rPr>
                <w:rFonts w:ascii="宋体" w:hAnsi="宋体" w:eastAsia="宋体"/>
                <w:sz w:val="16"/>
              </w:rPr>
              <w:t>—</w:t>
            </w:r>
          </w:p>
        </w:tc>
      </w:tr>
      <w:tr w14:paraId="3AB2E5A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23D27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E0992C">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0369AB">
            <w:pPr>
              <w:jc w:val="center"/>
            </w:pPr>
            <w:r>
              <w:rPr>
                <w:rFonts w:ascii="宋体" w:hAnsi="宋体" w:eastAsia="宋体"/>
                <w:sz w:val="16"/>
              </w:rPr>
              <w:t>175.47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D54849">
            <w:pPr>
              <w:jc w:val="center"/>
            </w:pPr>
            <w:r>
              <w:rPr>
                <w:rFonts w:ascii="宋体" w:hAnsi="宋体" w:eastAsia="宋体"/>
                <w:sz w:val="16"/>
              </w:rPr>
              <w:t>169.54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FD0A62">
            <w:pPr>
              <w:jc w:val="center"/>
            </w:pPr>
            <w:r>
              <w:rPr>
                <w:rFonts w:ascii="宋体" w:hAnsi="宋体" w:eastAsia="宋体"/>
                <w:sz w:val="16"/>
              </w:rPr>
              <w:t>169.40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5C830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FC3B7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774ACE">
            <w:pPr>
              <w:jc w:val="center"/>
            </w:pPr>
            <w:r>
              <w:rPr>
                <w:rFonts w:ascii="宋体" w:hAnsi="宋体" w:eastAsia="宋体"/>
                <w:sz w:val="16"/>
              </w:rPr>
              <w:t>—</w:t>
            </w:r>
          </w:p>
        </w:tc>
      </w:tr>
      <w:tr w14:paraId="07D5542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85D38D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E137C5">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F38FE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414DA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954D9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0BB38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3E4B2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B512FF">
            <w:pPr>
              <w:jc w:val="center"/>
            </w:pPr>
            <w:r>
              <w:rPr>
                <w:rFonts w:ascii="宋体" w:hAnsi="宋体" w:eastAsia="宋体"/>
                <w:sz w:val="16"/>
              </w:rPr>
              <w:t>—</w:t>
            </w:r>
          </w:p>
        </w:tc>
      </w:tr>
      <w:tr w14:paraId="11664D8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9E045E">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4F0CBD7">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89F7405">
            <w:pPr>
              <w:jc w:val="center"/>
            </w:pPr>
            <w:r>
              <w:rPr>
                <w:rFonts w:ascii="宋体" w:hAnsi="宋体" w:eastAsia="宋体"/>
                <w:sz w:val="16"/>
              </w:rPr>
              <w:t>实际完成情况</w:t>
            </w:r>
          </w:p>
        </w:tc>
      </w:tr>
      <w:tr w14:paraId="38858A7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0E796F"/>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BD806B2">
            <w:pPr>
              <w:jc w:val="both"/>
            </w:pPr>
            <w:r>
              <w:rPr>
                <w:rFonts w:ascii="宋体" w:hAnsi="宋体" w:eastAsia="宋体"/>
                <w:sz w:val="16"/>
              </w:rPr>
              <w:t>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防范和</w:t>
            </w:r>
            <w:r>
              <w:rPr>
                <w:rFonts w:hint="eastAsia" w:ascii="宋体" w:hAnsi="宋体"/>
                <w:sz w:val="16"/>
                <w:lang w:val="en-US" w:eastAsia="zh-CN"/>
              </w:rPr>
              <w:t>解决</w:t>
            </w:r>
            <w:r>
              <w:rPr>
                <w:rFonts w:ascii="宋体" w:hAnsi="宋体" w:eastAsia="宋体"/>
                <w:sz w:val="16"/>
              </w:rPr>
              <w:t>政府债务风险是全市重要任务之一，为了转变全县经济发展方式，促进经济持续健康发展，本部门高度重视，进行全面、真实、准确的报送数据，确保本单位政府债务监测统计工作，充分利用现有资源，以最小的成本</w:t>
            </w:r>
            <w:r>
              <w:rPr>
                <w:rFonts w:hint="eastAsia" w:ascii="宋体" w:hAnsi="宋体"/>
                <w:sz w:val="16"/>
                <w:lang w:eastAsia="zh-CN"/>
              </w:rPr>
              <w:t>最大限度满足</w:t>
            </w:r>
            <w:r>
              <w:rPr>
                <w:rFonts w:ascii="宋体" w:hAnsi="宋体" w:eastAsia="宋体"/>
                <w:sz w:val="16"/>
              </w:rPr>
              <w:t>广大人民群众的救治需求。</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A8519C3">
            <w:pPr>
              <w:jc w:val="both"/>
            </w:pPr>
            <w:r>
              <w:rPr>
                <w:rFonts w:ascii="宋体" w:hAnsi="宋体" w:eastAsia="宋体"/>
                <w:sz w:val="16"/>
              </w:rPr>
              <w:t>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防范和</w:t>
            </w:r>
            <w:r>
              <w:rPr>
                <w:rFonts w:hint="eastAsia" w:ascii="宋体" w:hAnsi="宋体"/>
                <w:sz w:val="16"/>
                <w:lang w:val="en-US" w:eastAsia="zh-CN"/>
              </w:rPr>
              <w:t>解决</w:t>
            </w:r>
            <w:bookmarkStart w:id="0" w:name="_GoBack"/>
            <w:bookmarkEnd w:id="0"/>
            <w:r>
              <w:rPr>
                <w:rFonts w:ascii="宋体" w:hAnsi="宋体" w:eastAsia="宋体"/>
                <w:sz w:val="16"/>
              </w:rPr>
              <w:t>政府债务风险是全市重要任务之一，为了转变全县经济发展方式，促进经济持续健康发展，本部门高度重视，进行全面、真实、准确的报送数据，确保本单位政府债务监测统计工作，充分利用现有资源，以最小的成本</w:t>
            </w:r>
            <w:r>
              <w:rPr>
                <w:rFonts w:hint="eastAsia" w:ascii="宋体" w:hAnsi="宋体"/>
                <w:sz w:val="16"/>
                <w:lang w:eastAsia="zh-CN"/>
              </w:rPr>
              <w:t>最大限度满足</w:t>
            </w:r>
            <w:r>
              <w:rPr>
                <w:rFonts w:ascii="宋体" w:hAnsi="宋体" w:eastAsia="宋体"/>
                <w:sz w:val="16"/>
              </w:rPr>
              <w:t>广大人民群众的救治需求。</w:t>
            </w:r>
          </w:p>
        </w:tc>
      </w:tr>
      <w:tr w14:paraId="5AB4CBF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68DA19">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0CF92C">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458800">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55C95E">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129149">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EF4EB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CBA5E2">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902BB5">
            <w:pPr>
              <w:jc w:val="center"/>
            </w:pPr>
            <w:r>
              <w:rPr>
                <w:rFonts w:ascii="宋体" w:hAnsi="宋体" w:eastAsia="宋体"/>
                <w:sz w:val="16"/>
              </w:rPr>
              <w:t>得分</w:t>
            </w:r>
          </w:p>
        </w:tc>
      </w:tr>
      <w:tr w14:paraId="348D10A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E61817">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02D203">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39FC9F">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823FDD">
            <w:pPr>
              <w:jc w:val="center"/>
            </w:pPr>
            <w:r>
              <w:rPr>
                <w:rFonts w:ascii="宋体" w:hAnsi="宋体" w:eastAsia="宋体"/>
                <w:sz w:val="16"/>
              </w:rPr>
              <w:t>&gt;=12人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542B02">
            <w:pPr>
              <w:jc w:val="center"/>
            </w:pPr>
            <w:r>
              <w:rPr>
                <w:rFonts w:ascii="宋体" w:hAnsi="宋体" w:eastAsia="宋体"/>
                <w:sz w:val="16"/>
              </w:rPr>
              <w:t>年度末工资册汇总表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73931A">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AC1425">
            <w:pPr>
              <w:jc w:val="center"/>
            </w:pPr>
            <w:r>
              <w:rPr>
                <w:rFonts w:ascii="宋体" w:hAnsi="宋体" w:eastAsia="宋体"/>
                <w:sz w:val="16"/>
              </w:rPr>
              <w:t>12人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223B69">
            <w:pPr>
              <w:jc w:val="center"/>
            </w:pPr>
            <w:r>
              <w:rPr>
                <w:rFonts w:ascii="宋体" w:hAnsi="宋体" w:eastAsia="宋体"/>
                <w:sz w:val="16"/>
              </w:rPr>
              <w:t>8</w:t>
            </w:r>
          </w:p>
        </w:tc>
      </w:tr>
      <w:tr w14:paraId="33441B6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BAB93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292C2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F2C82C">
            <w:pPr>
              <w:jc w:val="center"/>
            </w:pPr>
            <w:r>
              <w:rPr>
                <w:rFonts w:ascii="宋体" w:hAnsi="宋体" w:eastAsia="宋体"/>
                <w:sz w:val="16"/>
              </w:rPr>
              <w:t>保障车辆数（辆）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9A2AE0">
            <w:pPr>
              <w:jc w:val="center"/>
            </w:pPr>
            <w:r>
              <w:rPr>
                <w:rFonts w:ascii="宋体" w:hAnsi="宋体" w:eastAsia="宋体"/>
                <w:sz w:val="16"/>
              </w:rPr>
              <w:t>=1辆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CC15F8">
            <w:pPr>
              <w:jc w:val="center"/>
            </w:pPr>
            <w:r>
              <w:rPr>
                <w:rFonts w:ascii="宋体" w:hAnsi="宋体" w:eastAsia="宋体"/>
                <w:sz w:val="16"/>
              </w:rPr>
              <w:t>现有车辆登记证书、车辆编制增减变动的批复文件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0D95A3">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66C04B">
            <w:pPr>
              <w:jc w:val="center"/>
            </w:pPr>
            <w:r>
              <w:rPr>
                <w:rFonts w:ascii="宋体" w:hAnsi="宋体" w:eastAsia="宋体"/>
                <w:sz w:val="16"/>
              </w:rPr>
              <w:t>1辆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5BEF83">
            <w:pPr>
              <w:jc w:val="center"/>
            </w:pPr>
            <w:r>
              <w:rPr>
                <w:rFonts w:ascii="宋体" w:hAnsi="宋体" w:eastAsia="宋体"/>
                <w:sz w:val="16"/>
              </w:rPr>
              <w:t>8</w:t>
            </w:r>
          </w:p>
        </w:tc>
      </w:tr>
      <w:tr w14:paraId="62175E8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5D78F4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3FF539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F6C36F">
            <w:pPr>
              <w:jc w:val="center"/>
            </w:pPr>
            <w:r>
              <w:rPr>
                <w:rFonts w:ascii="宋体" w:hAnsi="宋体" w:eastAsia="宋体"/>
                <w:sz w:val="16"/>
              </w:rPr>
              <w:t>年度部门整体控制数（万元）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9165E8">
            <w:pPr>
              <w:jc w:val="center"/>
            </w:pPr>
            <w:r>
              <w:rPr>
                <w:rFonts w:ascii="宋体" w:hAnsi="宋体" w:eastAsia="宋体"/>
                <w:sz w:val="16"/>
              </w:rPr>
              <w:t>&lt;=465.47万元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50AC65">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B49C2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A01D54">
            <w:pPr>
              <w:jc w:val="center"/>
            </w:pPr>
            <w:r>
              <w:rPr>
                <w:rFonts w:ascii="宋体" w:hAnsi="宋体" w:eastAsia="宋体"/>
                <w:sz w:val="16"/>
              </w:rPr>
              <w:t>181.21万元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7B7048">
            <w:pPr>
              <w:jc w:val="center"/>
            </w:pPr>
            <w:r>
              <w:rPr>
                <w:rFonts w:ascii="宋体" w:hAnsi="宋体" w:eastAsia="宋体"/>
                <w:sz w:val="16"/>
              </w:rPr>
              <w:t>3.89</w:t>
            </w:r>
          </w:p>
        </w:tc>
      </w:tr>
      <w:tr w14:paraId="01ED395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4AF31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293D4C">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C09187">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1E87B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BDAE2E">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05D307">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EE6B5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3E1F32">
            <w:pPr>
              <w:jc w:val="center"/>
            </w:pPr>
            <w:r>
              <w:rPr>
                <w:rFonts w:ascii="宋体" w:hAnsi="宋体" w:eastAsia="宋体"/>
                <w:sz w:val="16"/>
              </w:rPr>
              <w:t>8</w:t>
            </w:r>
          </w:p>
        </w:tc>
      </w:tr>
      <w:tr w14:paraId="45C3387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1E0C83">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D8249C">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484C9C">
            <w:pPr>
              <w:jc w:val="center"/>
            </w:pPr>
            <w:r>
              <w:rPr>
                <w:rFonts w:ascii="宋体" w:hAnsi="宋体" w:eastAsia="宋体"/>
                <w:sz w:val="16"/>
              </w:rPr>
              <w:t>提高农村群众收入水平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68DB86">
            <w:pPr>
              <w:jc w:val="center"/>
            </w:pPr>
            <w:r>
              <w:rPr>
                <w:rFonts w:ascii="宋体" w:hAnsi="宋体" w:eastAsia="宋体"/>
                <w:sz w:val="16"/>
              </w:rPr>
              <w:t>提高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D4271B">
            <w:pPr>
              <w:jc w:val="center"/>
            </w:pPr>
            <w:r>
              <w:rPr>
                <w:rFonts w:ascii="宋体" w:hAnsi="宋体" w:eastAsia="宋体"/>
                <w:sz w:val="16"/>
              </w:rPr>
              <w:t>政策制度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F52868">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0D74B0">
            <w:pPr>
              <w:jc w:val="center"/>
            </w:pPr>
            <w:r>
              <w:rPr>
                <w:rFonts w:ascii="宋体" w:hAnsi="宋体" w:eastAsia="宋体"/>
                <w:sz w:val="16"/>
              </w:rPr>
              <w:t>提高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45EC63">
            <w:pPr>
              <w:jc w:val="center"/>
            </w:pPr>
            <w:r>
              <w:rPr>
                <w:rFonts w:ascii="宋体" w:hAnsi="宋体" w:eastAsia="宋体"/>
                <w:sz w:val="16"/>
              </w:rPr>
              <w:t>8</w:t>
            </w:r>
          </w:p>
        </w:tc>
      </w:tr>
      <w:tr w14:paraId="7669200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12482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8BBE2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78AB00">
            <w:pPr>
              <w:jc w:val="center"/>
            </w:pPr>
            <w:r>
              <w:rPr>
                <w:rFonts w:ascii="宋体" w:hAnsi="宋体" w:eastAsia="宋体"/>
                <w:sz w:val="16"/>
              </w:rPr>
              <w:t>预决算信息公开及时性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E4E0CC">
            <w:pPr>
              <w:jc w:val="center"/>
            </w:pPr>
            <w:r>
              <w:rPr>
                <w:rFonts w:ascii="宋体" w:hAnsi="宋体" w:eastAsia="宋体"/>
                <w:sz w:val="16"/>
              </w:rPr>
              <w:t>公开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F8236A">
            <w:pPr>
              <w:jc w:val="center"/>
            </w:pPr>
            <w:r>
              <w:rPr>
                <w:rFonts w:ascii="宋体" w:hAnsi="宋体" w:eastAsia="宋体"/>
                <w:sz w:val="16"/>
              </w:rPr>
              <w:t>政策制度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2699C0">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C24DAF">
            <w:pPr>
              <w:jc w:val="center"/>
            </w:pPr>
            <w:r>
              <w:rPr>
                <w:rFonts w:ascii="宋体" w:hAnsi="宋体" w:eastAsia="宋体"/>
                <w:sz w:val="16"/>
              </w:rPr>
              <w:t>公开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7F511B">
            <w:pPr>
              <w:jc w:val="center"/>
            </w:pPr>
            <w:r>
              <w:rPr>
                <w:rFonts w:ascii="宋体" w:hAnsi="宋体" w:eastAsia="宋体"/>
                <w:sz w:val="16"/>
              </w:rPr>
              <w:t>8</w:t>
            </w:r>
          </w:p>
        </w:tc>
      </w:tr>
      <w:tr w14:paraId="35F2031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DB3F72">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4EF7C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6BB5AE">
            <w:pPr>
              <w:jc w:val="center"/>
            </w:pPr>
            <w:r>
              <w:rPr>
                <w:rFonts w:ascii="宋体" w:hAnsi="宋体" w:eastAsia="宋体"/>
                <w:sz w:val="16"/>
              </w:rPr>
              <w:t>年度重点工作个数（件）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18564B">
            <w:pPr>
              <w:jc w:val="center"/>
            </w:pPr>
            <w:r>
              <w:rPr>
                <w:rFonts w:ascii="宋体" w:hAnsi="宋体" w:eastAsia="宋体"/>
                <w:sz w:val="16"/>
              </w:rPr>
              <w:t>&gt;=2件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FED838">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312D99">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1514B7">
            <w:pPr>
              <w:jc w:val="center"/>
            </w:pPr>
            <w:r>
              <w:rPr>
                <w:rFonts w:ascii="宋体" w:hAnsi="宋体" w:eastAsia="宋体"/>
                <w:sz w:val="16"/>
              </w:rPr>
              <w:t>2件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03ADD6">
            <w:pPr>
              <w:jc w:val="center"/>
            </w:pPr>
            <w:r>
              <w:rPr>
                <w:rFonts w:ascii="宋体" w:hAnsi="宋体" w:eastAsia="宋体"/>
                <w:sz w:val="16"/>
              </w:rPr>
              <w:t>8</w:t>
            </w:r>
          </w:p>
        </w:tc>
      </w:tr>
      <w:tr w14:paraId="794070B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358F4C"/>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583EA9">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309BDF">
            <w:pPr>
              <w:jc w:val="center"/>
            </w:pPr>
            <w:r>
              <w:rPr>
                <w:rFonts w:ascii="宋体" w:hAnsi="宋体" w:eastAsia="宋体"/>
                <w:sz w:val="16"/>
              </w:rPr>
              <w:t>年度重点工作办结率（%）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B861E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A9848A">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8A8289">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28464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34BF6F">
            <w:pPr>
              <w:jc w:val="center"/>
            </w:pPr>
            <w:r>
              <w:rPr>
                <w:rFonts w:ascii="宋体" w:hAnsi="宋体" w:eastAsia="宋体"/>
                <w:sz w:val="16"/>
              </w:rPr>
              <w:t>8</w:t>
            </w:r>
          </w:p>
        </w:tc>
      </w:tr>
      <w:tr w14:paraId="5DC804A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E5B110">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90F4E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6D8073">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2647F0">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BB7645">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7FDF2D">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2FFB91">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618047">
            <w:pPr>
              <w:jc w:val="center"/>
            </w:pPr>
            <w:r>
              <w:rPr>
                <w:rFonts w:ascii="宋体" w:hAnsi="宋体" w:eastAsia="宋体"/>
                <w:sz w:val="16"/>
              </w:rPr>
              <w:t>8</w:t>
            </w:r>
          </w:p>
        </w:tc>
      </w:tr>
      <w:tr w14:paraId="7E02275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2FD900">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0D60D1">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0AC32D">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3131C7">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92D8EF">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6A8F85">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A7FB5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AE88D1">
            <w:pPr>
              <w:jc w:val="center"/>
            </w:pPr>
            <w:r>
              <w:rPr>
                <w:rFonts w:ascii="宋体" w:hAnsi="宋体" w:eastAsia="宋体"/>
                <w:sz w:val="16"/>
              </w:rPr>
              <w:t>8</w:t>
            </w:r>
          </w:p>
        </w:tc>
      </w:tr>
      <w:tr w14:paraId="557BA67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E7327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69B84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C48830">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2CCD63">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AB9D0A">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29E7CF">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95EFE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CE51D7">
            <w:pPr>
              <w:jc w:val="center"/>
            </w:pPr>
            <w:r>
              <w:rPr>
                <w:rFonts w:ascii="宋体" w:hAnsi="宋体" w:eastAsia="宋体"/>
                <w:sz w:val="16"/>
              </w:rPr>
              <w:t>8</w:t>
            </w:r>
          </w:p>
        </w:tc>
      </w:tr>
    </w:tbl>
    <w:p w14:paraId="1968AF6B">
      <w:r>
        <w:br w:type="page"/>
      </w:r>
    </w:p>
    <w:p w14:paraId="00C6C4CA">
      <w:pPr>
        <w:spacing w:line="640" w:lineRule="exact"/>
        <w:ind w:firstLine="640"/>
        <w:jc w:val="both"/>
        <w:outlineLvl w:val="2"/>
      </w:pPr>
      <w:r>
        <w:rPr>
          <w:rFonts w:ascii="黑体" w:hAnsi="黑体" w:eastAsia="黑体"/>
          <w:sz w:val="32"/>
        </w:rPr>
        <w:t>十二、其他需说明的事项</w:t>
      </w:r>
    </w:p>
    <w:p w14:paraId="074D64E8">
      <w:pPr>
        <w:spacing w:line="580" w:lineRule="exact"/>
        <w:ind w:firstLine="640"/>
        <w:jc w:val="both"/>
      </w:pPr>
      <w:r>
        <w:rPr>
          <w:rFonts w:ascii="仿宋_GB2312" w:hAnsi="仿宋_GB2312" w:eastAsia="仿宋_GB2312"/>
          <w:b w:val="0"/>
          <w:sz w:val="32"/>
        </w:rPr>
        <w:t>本单位无其他需说明的事项。</w:t>
      </w:r>
    </w:p>
    <w:p w14:paraId="72A02EC3">
      <w:r>
        <w:br w:type="page"/>
      </w:r>
    </w:p>
    <w:p w14:paraId="7D25A664">
      <w:pPr>
        <w:spacing w:line="240" w:lineRule="auto"/>
        <w:jc w:val="center"/>
        <w:outlineLvl w:val="1"/>
      </w:pPr>
      <w:r>
        <w:rPr>
          <w:rFonts w:ascii="黑体" w:hAnsi="黑体" w:eastAsia="黑体"/>
          <w:sz w:val="32"/>
        </w:rPr>
        <w:t>第三部分 专业名词解释</w:t>
      </w:r>
    </w:p>
    <w:p w14:paraId="77A4B8E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3DBFBC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ED2890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B09FDE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A94737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E2E6B8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E1DFB4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542DC1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B1A1C2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B12958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05BFAB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9F3856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F00A80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F58058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37FC280">
      <w:r>
        <w:br w:type="page"/>
      </w:r>
    </w:p>
    <w:p w14:paraId="4C0E3143">
      <w:pPr>
        <w:spacing w:line="240" w:lineRule="auto"/>
        <w:jc w:val="center"/>
        <w:outlineLvl w:val="1"/>
      </w:pPr>
      <w:r>
        <w:rPr>
          <w:rFonts w:ascii="黑体" w:hAnsi="黑体" w:eastAsia="黑体"/>
          <w:sz w:val="32"/>
        </w:rPr>
        <w:t>第四部分 部门决算报表（见附表）</w:t>
      </w:r>
    </w:p>
    <w:p w14:paraId="23119F10">
      <w:pPr>
        <w:spacing w:line="240" w:lineRule="auto"/>
        <w:ind w:firstLine="640"/>
        <w:jc w:val="both"/>
      </w:pPr>
      <w:r>
        <w:rPr>
          <w:rFonts w:ascii="仿宋_GB2312" w:hAnsi="仿宋_GB2312" w:eastAsia="仿宋_GB2312"/>
          <w:b w:val="0"/>
          <w:sz w:val="32"/>
        </w:rPr>
        <w:t>一、《收入支出决算总表》</w:t>
      </w:r>
    </w:p>
    <w:p w14:paraId="786AC5B4">
      <w:pPr>
        <w:spacing w:line="240" w:lineRule="auto"/>
        <w:ind w:firstLine="640"/>
        <w:jc w:val="both"/>
      </w:pPr>
      <w:r>
        <w:rPr>
          <w:rFonts w:ascii="仿宋_GB2312" w:hAnsi="仿宋_GB2312" w:eastAsia="仿宋_GB2312"/>
          <w:b w:val="0"/>
          <w:sz w:val="32"/>
        </w:rPr>
        <w:t>二、《收入决算表》</w:t>
      </w:r>
    </w:p>
    <w:p w14:paraId="5065E762">
      <w:pPr>
        <w:spacing w:line="240" w:lineRule="auto"/>
        <w:ind w:firstLine="640"/>
        <w:jc w:val="both"/>
      </w:pPr>
      <w:r>
        <w:rPr>
          <w:rFonts w:ascii="仿宋_GB2312" w:hAnsi="仿宋_GB2312" w:eastAsia="仿宋_GB2312"/>
          <w:b w:val="0"/>
          <w:sz w:val="32"/>
        </w:rPr>
        <w:t>三、《支出决算表》</w:t>
      </w:r>
    </w:p>
    <w:p w14:paraId="3CD824BA">
      <w:pPr>
        <w:spacing w:line="240" w:lineRule="auto"/>
        <w:ind w:firstLine="640"/>
        <w:jc w:val="both"/>
      </w:pPr>
      <w:r>
        <w:rPr>
          <w:rFonts w:ascii="仿宋_GB2312" w:hAnsi="仿宋_GB2312" w:eastAsia="仿宋_GB2312"/>
          <w:b w:val="0"/>
          <w:sz w:val="32"/>
        </w:rPr>
        <w:t>四、《财政拨款收入支出决算总表》</w:t>
      </w:r>
    </w:p>
    <w:p w14:paraId="55F2A3DE">
      <w:pPr>
        <w:spacing w:line="240" w:lineRule="auto"/>
        <w:ind w:firstLine="640"/>
        <w:jc w:val="both"/>
      </w:pPr>
      <w:r>
        <w:rPr>
          <w:rFonts w:ascii="仿宋_GB2312" w:hAnsi="仿宋_GB2312" w:eastAsia="仿宋_GB2312"/>
          <w:b w:val="0"/>
          <w:sz w:val="32"/>
        </w:rPr>
        <w:t>五、《一般公共预算财政拨款支出决算表》</w:t>
      </w:r>
    </w:p>
    <w:p w14:paraId="747291C8">
      <w:pPr>
        <w:spacing w:line="240" w:lineRule="auto"/>
        <w:ind w:firstLine="640"/>
        <w:jc w:val="both"/>
      </w:pPr>
      <w:r>
        <w:rPr>
          <w:rFonts w:ascii="仿宋_GB2312" w:hAnsi="仿宋_GB2312" w:eastAsia="仿宋_GB2312"/>
          <w:b w:val="0"/>
          <w:sz w:val="32"/>
        </w:rPr>
        <w:t>六、《一般公共预算财政拨款基本支出决算表》</w:t>
      </w:r>
    </w:p>
    <w:p w14:paraId="64DC38E3">
      <w:pPr>
        <w:spacing w:line="240" w:lineRule="auto"/>
        <w:ind w:firstLine="640"/>
        <w:jc w:val="both"/>
      </w:pPr>
      <w:r>
        <w:rPr>
          <w:rFonts w:ascii="仿宋_GB2312" w:hAnsi="仿宋_GB2312" w:eastAsia="仿宋_GB2312"/>
          <w:b w:val="0"/>
          <w:sz w:val="32"/>
        </w:rPr>
        <w:t>七、《政府性基金预算财政拨款收入支出决算表》</w:t>
      </w:r>
    </w:p>
    <w:p w14:paraId="5E91A0A4">
      <w:pPr>
        <w:spacing w:line="240" w:lineRule="auto"/>
        <w:ind w:firstLine="640"/>
        <w:jc w:val="both"/>
      </w:pPr>
      <w:r>
        <w:rPr>
          <w:rFonts w:ascii="仿宋_GB2312" w:hAnsi="仿宋_GB2312" w:eastAsia="仿宋_GB2312"/>
          <w:b w:val="0"/>
          <w:sz w:val="32"/>
        </w:rPr>
        <w:t>八、《国有资本经营预算财政拨款收入支出决算表》</w:t>
      </w:r>
    </w:p>
    <w:p w14:paraId="78B0BF05">
      <w:pPr>
        <w:spacing w:line="240" w:lineRule="auto"/>
        <w:ind w:firstLine="640"/>
        <w:jc w:val="both"/>
      </w:pPr>
      <w:r>
        <w:rPr>
          <w:rFonts w:ascii="仿宋_GB2312" w:hAnsi="仿宋_GB2312" w:eastAsia="仿宋_GB2312"/>
          <w:b w:val="0"/>
          <w:sz w:val="32"/>
        </w:rPr>
        <w:t>九、《财政拨款“三公”经费支出决算表》</w:t>
      </w:r>
    </w:p>
    <w:p w14:paraId="59DA5A3C">
      <w:pPr>
        <w:spacing w:line="240" w:lineRule="auto"/>
        <w:ind w:firstLine="640"/>
        <w:jc w:val="both"/>
      </w:pPr>
    </w:p>
    <w:p w14:paraId="17CE6F9E">
      <w:pPr>
        <w:spacing w:line="240" w:lineRule="auto"/>
        <w:ind w:firstLine="640"/>
        <w:jc w:val="both"/>
      </w:pPr>
    </w:p>
    <w:p w14:paraId="4C4B39B7">
      <w:pPr>
        <w:spacing w:line="240" w:lineRule="auto"/>
        <w:ind w:firstLine="640"/>
        <w:jc w:val="both"/>
      </w:pPr>
    </w:p>
    <w:p w14:paraId="506E0449">
      <w:pPr>
        <w:spacing w:line="240" w:lineRule="auto"/>
        <w:ind w:firstLine="640"/>
        <w:jc w:val="both"/>
      </w:pPr>
    </w:p>
    <w:p w14:paraId="3BA2759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158365B-A39E-45C0-929F-B4EABA0E899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9FC11F84-32EA-42E7-B468-A8895064414E}"/>
  </w:font>
  <w:font w:name="仿宋_GB2312">
    <w:altName w:val="仿宋"/>
    <w:panose1 w:val="02010609030101010101"/>
    <w:charset w:val="86"/>
    <w:family w:val="modern"/>
    <w:pitch w:val="default"/>
    <w:sig w:usb0="00000000" w:usb1="00000000" w:usb2="00000000" w:usb3="00000000" w:csb0="00040000" w:csb1="00000000"/>
    <w:embedRegular r:id="rId3" w:fontKey="{959759B9-6E06-47E5-BD7C-DDE6D86ACB6C}"/>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AAD292C5-7291-41F4-9F80-3672BAD1A3D4}"/>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027388"/>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CDA19B8"/>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4983</Words>
  <Characters>5681</Characters>
  <Lines>0</Lines>
  <Paragraphs>0</Paragraphs>
  <TotalTime>2</TotalTime>
  <ScaleCrop>false</ScaleCrop>
  <LinksUpToDate>false</LinksUpToDate>
  <CharactersWithSpaces>5689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2025-09-15T08:35:49Z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