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2024年县级代表活动经费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阿克陶县人民代表大会常务委员会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阿克陶县人民代表大会常务委员会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杨晓强</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县级人大代表活动项目实施前期、过程及效果，评价财政预算资金使用的效率及效益。为进一步保障我县人大各项工作顺利开展，丰富代表在闭会期间的活动，更好的发挥好代表作用，经会议研究，同意县级人大代表活动经费由每人每年800元，共有186名代表，一共148800元，并纳入本级财政预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按照行政村的规模分类县级代表活动经费项目资金14.88万元，其中：财政资金14.88万元，其他资金0万元。该项目保障186名人大代表日常会议、视察、督察、培训等活动正常的开支，通过该项目的实施向</w:t>
      </w:r>
      <w:r>
        <w:rPr>
          <w:rStyle w:val="17"/>
          <w:rFonts w:hint="eastAsia" w:ascii="仿宋" w:hAnsi="仿宋" w:eastAsia="仿宋" w:cs="仿宋"/>
          <w:b w:val="0"/>
          <w:bCs w:val="0"/>
          <w:spacing w:val="-4"/>
          <w:sz w:val="32"/>
          <w:szCs w:val="32"/>
          <w:lang w:eastAsia="zh-CN"/>
        </w:rPr>
        <w:t>县委、县政府</w:t>
      </w:r>
      <w:r>
        <w:rPr>
          <w:rStyle w:val="17"/>
          <w:rFonts w:hint="eastAsia" w:ascii="仿宋" w:hAnsi="仿宋" w:eastAsia="仿宋" w:cs="仿宋"/>
          <w:b w:val="0"/>
          <w:bCs w:val="0"/>
          <w:spacing w:val="-4"/>
          <w:sz w:val="32"/>
          <w:szCs w:val="32"/>
        </w:rPr>
        <w:t>提供调研、督查、视察等工作提供信息、建议、意见等。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《阿克陶县党委财经领导小组会议纪要》陶党纪字【2013】 66号文件精神安排下达资金14.88万元，宣传国家相关政策及法律法规，维护社会稳定和长治久安，从而提高人大代表幸福度和归属感。3.</w:t>
      </w:r>
      <w:r>
        <w:rPr>
          <w:rStyle w:val="17"/>
          <w:rFonts w:hint="eastAsia" w:ascii="仿宋" w:hAnsi="仿宋" w:eastAsia="仿宋" w:cs="仿宋"/>
          <w:b w:val="0"/>
          <w:bCs w:val="0"/>
          <w:spacing w:val="-4"/>
          <w:sz w:val="32"/>
          <w:szCs w:val="32"/>
        </w:rPr>
        <w:tab/>
      </w:r>
      <w:r>
        <w:rPr>
          <w:rStyle w:val="17"/>
          <w:rFonts w:hint="eastAsia" w:ascii="仿宋" w:hAnsi="仿宋" w:eastAsia="仿宋" w:cs="仿宋"/>
          <w:b w:val="0"/>
          <w:bCs w:val="0"/>
          <w:spacing w:val="-4"/>
          <w:sz w:val="32"/>
          <w:szCs w:val="32"/>
        </w:rPr>
        <w:t>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人民代表大会常务委员会单位实施，内设5个科室，分别是：1、办公室；2、法制工作委员会办公室3、财政经济工作委员会办公室4、教育科学文化卫生工作委员会办公室(承担民族宗教外事侨务工作委员会工作职责)5、代表人事工作委员会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主要职能是；1、办公室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负责常委会党组、主任会议决定事项的组织实施和督查工作；负责县人民代表大会、常务委员会、主任会议及其它各种会议的文秘会务工作；负责各项报告、文电和领导讲话稿的起草，收集各地人大工作信息，总结人大工作经验，整理人大工作信息，负责机关政务、事务工作，包括机关工作人员的管理、考评、人事、文秘、翻译、老干、安全保卫、接待、财务及后勤保障工作；办理人大代表及人民群众的来信来访接待和上级人大常委会办公厅转办的来信，办理自治州人大常委会领导交办的其它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2、法制工作委员会办公室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拟定我县地方立法规划和年度立法规划，组织并参与单选条例的论证、起草工作，了解督促立法计划的执行；根据国家和自治区、自治州的有关通知参与国家和自治区、自治州的有关法律、法规修订的调研和征求意见工作；对司法部门有关工作情况和执法情况进行调研并提出调研研究。参与督促我县普法和法制宣传教育工作；受理人民群众的检举、控告、诉讼性申诉案件并根据情况予以处理；承办县人大代表关于法制工作的议案和建议、批评、意见的答复工作；办公理县人大常委会领导交办的其它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3、财政经济工作委员会办公室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了解本县国民经济和社会发展计划，财政预算的编制和执行情况及重要经济动态，对国民经济重大问题进行调查研究，提出意见和建议；对县人民政府报审的国民经济和社会发展计划(草案)、财政预算、决算报告(草案)，以及国民经济和社会发展计划、预算的部分调整变更议案进行初审；对经济方面的重大问题进行调查调研，提和建议；对县人民政府发布的有关经济方面的行政规章和规范性文件，以及下级人大及其党委会有关经济问题的决议、决定进行研究，对其中与宪法、法律法规相抵触的，提出纠正意见，报党委会或主任会议决定；承办县人大代表关于经济环保方面的议案和建议、批评、意见的答复工作；办理人大常委会领导交办的其它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4、教育科学文化卫生工作委员会办公室(承担民族宗教外事侨务工作委员会工作职责)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教育、科学、文化、卫生、计划生育、体育、民族、宗教、外事、侨务等方面的法律、法规和上级人大及其常委会的有关决议、决定执行情况进行检查；在常委会领导下，对与本委业务有关方面的重大问题进行调查研究，提出意见和建议；对县人民政府发布的与本委业务相关的行政规章和规范性文件进行研究，对其中与宪法、法律法规相抵触的，提出纠正意见，报常委会或主任会议决定；承办县人大代表关于经济环保方面的议案和建议、批评、意见的答复工作；办理人大常委会领导交办的其它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5、代表人事工作委员会办公室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负责本县的全国、自治区、自治州、县人大代表的联络工作。对代表的分组、代表视察、代表活动作出计划安排；对有关代表人事选举方面的法律、法规和上级人大及其常委会的有关决议、决定有关执行情况进行检查；认真听取各级人大代表意见、建议；与政府及有关部门办理好县人大代表议案、意见的交办，督办办理情况的汇集工作。做好人事任免的服务工作，协助搞好县人大代表的选举和代表资格的初审工作，以及换届选举时的其他工作。督促检查各乡镇搞好镇换届选举工作；联系乡镇人大主席团，总结交流人大工作经验；承办人大代表关于代表人事选举工作方面的议案和建议、批评、意见；办理人大常委会领导交办的其他事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编制人数15人，其中：行政人员编制9人、工勤6人、参公0人、事业编制5人。实有在职人数55人，其中：行政在职13人、工勤6人、参公0人、事业在职4人。离退休人员0人，其中：行政退休人员32人、事业退休0人。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《阿克陶县党委财经领导小组会议纪要》陶党纪字【2013】 66号文件精神安排下达资金14.88万元，为县级代表活动资金，最终确定项目资金总数为14.88万元。其中：中央财政拨款0万元，自治区财政拨款0万元，本级财政拨款14.88万元，上年结余0万元。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截至2024年12月31日，实际支出3.24万元，预算执行率21.77%。</w:t>
      </w:r>
      <w:r>
        <w:rPr>
          <w:rStyle w:val="17"/>
          <w:rFonts w:hint="eastAsia" w:ascii="仿宋" w:hAnsi="仿宋" w:eastAsia="仿宋" w:cs="仿宋"/>
          <w:b w:val="0"/>
          <w:bCs w:val="0"/>
          <w:spacing w:val="-4"/>
          <w:sz w:val="32"/>
          <w:szCs w:val="32"/>
        </w:rPr>
        <w:cr/>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left="319" w:leftChars="152" w:firstLine="1775" w:firstLineChars="569"/>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县级人大代表活动经费总目标是确保代表活动顺利开展，充分发挥人大代表在发展社会主义政治文明和构建和谐社会的作用。通过扎实开展闭会期间的人大代表活动，可以充分发挥人大代表在发展社会主义政治文明和构建和谐社会工作中的重要作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县级人大代表活动经费总目标是确保代表活动顺利开展，充分发挥人大代表在发展社会主义政治文明和构建和谐社会的作用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w:t>
      </w:r>
      <w:r>
        <w:rPr>
          <w:rStyle w:val="17"/>
          <w:rFonts w:hint="eastAsia" w:ascii="仿宋" w:hAnsi="仿宋" w:eastAsia="仿宋" w:cs="仿宋"/>
          <w:b w:val="0"/>
          <w:bCs w:val="0"/>
          <w:spacing w:val="-4"/>
          <w:sz w:val="32"/>
          <w:szCs w:val="32"/>
          <w:lang w:eastAsia="zh-CN"/>
        </w:rPr>
        <w:t>中华人民共和国</w:t>
      </w:r>
      <w:r>
        <w:rPr>
          <w:rStyle w:val="17"/>
          <w:rFonts w:hint="eastAsia" w:ascii="仿宋" w:hAnsi="仿宋" w:eastAsia="仿宋" w:cs="仿宋"/>
          <w:b w:val="0"/>
          <w:bCs w:val="0"/>
          <w:spacing w:val="-4"/>
          <w:sz w:val="32"/>
          <w:szCs w:val="32"/>
        </w:rPr>
        <w:t>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“代表人数”指标，预期指标值为≥186人；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“资金使用年限”指标，预期指标值为=12月。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“代表活动资金”指标，预期指标值为≤14.88万元；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t>有效保障活动积极率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明显提升工作及时完成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“服务对象满意度（%）”指标，预期指标值为≥95%。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r>
        <w:rPr>
          <w:rStyle w:val="17"/>
          <w:rFonts w:hint="eastAsia" w:ascii="仿宋" w:hAnsi="仿宋" w:eastAsia="仿宋" w:cs="仿宋"/>
          <w:b w:val="0"/>
          <w:bCs w:val="0"/>
          <w:spacing w:val="-4"/>
          <w:sz w:val="32"/>
          <w:szCs w:val="32"/>
        </w:rPr>
        <w:cr/>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2024年县级代表活动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（三）绩效评价工作过程</w:t>
      </w:r>
      <w:r>
        <w:rPr>
          <w:rStyle w:val="17"/>
          <w:rFonts w:hint="eastAsia" w:ascii="仿宋" w:hAnsi="仿宋" w:eastAsia="仿宋" w:cs="仿宋"/>
          <w:b w:val="0"/>
          <w:bCs w:val="0"/>
          <w:spacing w:val="-4"/>
          <w:sz w:val="32"/>
          <w:szCs w:val="32"/>
        </w:rPr>
        <w:cr/>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热希提</w:t>
      </w:r>
      <w:r>
        <w:rPr>
          <w:rStyle w:val="17"/>
          <w:rFonts w:hint="eastAsia" w:ascii="仿宋" w:hAnsi="仿宋" w:eastAsia="仿宋" w:cs="仿宋"/>
          <w:b w:val="0"/>
          <w:bCs w:val="0"/>
          <w:spacing w:val="-4"/>
          <w:sz w:val="32"/>
          <w:szCs w:val="32"/>
          <w:lang w:val="en-US" w:eastAsia="zh-CN"/>
        </w:rPr>
        <w:t>·</w:t>
      </w:r>
      <w:r>
        <w:rPr>
          <w:rStyle w:val="17"/>
          <w:rFonts w:hint="eastAsia" w:ascii="仿宋" w:hAnsi="仿宋" w:eastAsia="仿宋" w:cs="仿宋"/>
          <w:b w:val="0"/>
          <w:bCs w:val="0"/>
          <w:spacing w:val="-4"/>
          <w:sz w:val="32"/>
          <w:szCs w:val="32"/>
        </w:rPr>
        <w:t>吾甫尔任评价组组长，职务为副局长，绩效评价工作职责为负责全盘工作。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郭健任评价组副组长，绩效评价工作职责为对项目实施情况进行实地调查。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刘润锋任评价组成员，绩效评价工作职责为负责资料审核等工作。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2024年县级活动经费经费”项目绩效进行客观公正的评价，本项目总得分为88.22分，绩效评级属于“良”。其中，决策类指标得分20分，过程类指标得分16.09分，产出类指标得分32.13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解决生产生活中的实际困难，加强民族团结，增进民族互信，突出现代文化引领，落实民生建设任务，关心关爱困难群众，实现维护社会稳定和长治久安总目标已完成推动了县级代表综合素质明显提高，产生新疆经济社会发展和全面</w:t>
      </w:r>
      <w:r>
        <w:rPr>
          <w:rStyle w:val="17"/>
          <w:rFonts w:hint="eastAsia" w:ascii="仿宋" w:hAnsi="仿宋" w:eastAsia="仿宋" w:cs="仿宋"/>
          <w:b w:val="0"/>
          <w:bCs w:val="0"/>
          <w:spacing w:val="-4"/>
          <w:sz w:val="32"/>
          <w:szCs w:val="32"/>
          <w:lang w:eastAsia="zh-CN"/>
        </w:rPr>
        <w:t>建成</w:t>
      </w:r>
      <w:r>
        <w:rPr>
          <w:rStyle w:val="17"/>
          <w:rFonts w:hint="eastAsia" w:ascii="仿宋" w:hAnsi="仿宋" w:eastAsia="仿宋" w:cs="仿宋"/>
          <w:b w:val="0"/>
          <w:bCs w:val="0"/>
          <w:spacing w:val="-4"/>
          <w:sz w:val="32"/>
          <w:szCs w:val="32"/>
        </w:rPr>
        <w:t>小康社会具有重大的战略意义效益。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（1）立项依据充分性：《阿克陶县党委财经领导小组会议纪要》陶党纪字【2013】 66号文件精神安排下达资金14.88万元，为县级代表活动资金，最终确定项目资金总数为14.88万元。其中：中央财政拨款0万元，自治区财政拨款0万元，本级财政拨款14.88万元，上年结余0万元并结合阿克陶县人民代表大会常务委员会职责组织实施。围绕阿克陶县人民代表大会常务委员会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人民代表大会常务委员会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 为进一步保障我县人大各项工作顺利开展，丰富代表在闭会期间的活动，更好的发挥好代表作用，经会议研究，同意县级人大代表活动经费由每人每年800元，共有186名代表，一共148800元，并纳入本级财政预算，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（6）资金分配合理性：资金分配按照该项目保障186名人大代表日常会议、视察、督察、培训等活动正常的开支，通过该项目的实施向</w:t>
      </w:r>
      <w:r>
        <w:rPr>
          <w:rStyle w:val="17"/>
          <w:rFonts w:hint="eastAsia" w:ascii="仿宋" w:hAnsi="仿宋" w:eastAsia="仿宋" w:cs="仿宋"/>
          <w:b w:val="0"/>
          <w:bCs w:val="0"/>
          <w:spacing w:val="-4"/>
          <w:sz w:val="32"/>
          <w:szCs w:val="32"/>
          <w:lang w:eastAsia="zh-CN"/>
        </w:rPr>
        <w:t>县委、县政府</w:t>
      </w:r>
      <w:r>
        <w:rPr>
          <w:rStyle w:val="17"/>
          <w:rFonts w:hint="eastAsia" w:ascii="仿宋" w:hAnsi="仿宋" w:eastAsia="仿宋" w:cs="仿宋"/>
          <w:b w:val="0"/>
          <w:bCs w:val="0"/>
          <w:spacing w:val="-4"/>
          <w:sz w:val="32"/>
          <w:szCs w:val="32"/>
        </w:rPr>
        <w:t>提供调研、督查、视察等工作提供信息、建议、意见等。资金分配与实际相适应，根据评分标准，该指标不扣分，得5分。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5个三级指标构成，权重分为20分，实际得分16.09 分，得分率为80.45%。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（1）资金到位率：该项目总投资14.88万元，其中当年财政拨款14.88万元，上年结转资金0万元，财政资金足额拨付到位，根据评分标准，该指标不扣分，得5分。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（2）预算执行率：本项目申请预算金额为14.88 万元，预算批复实际下达金额为 14.88万元.截至 2024年 12 月 31日，资金执行3.24万元，资金执行率21.77%。项目资金支出总体能够按照预算执行，根据评分标准，该指标扣3.81分，得1.09分。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（3）资金使用合规性：根据关于《阿克陶县党委财经领导小组会议纪要》陶党纪字【2013】 66号。符合预算批复规定用途，不存在截留、挤占、挪用、虚列支出等情况，未发现违规使用情况，根据评分标准，该指标不扣分，得5分。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人民代表大会常务委员会）财务制度》及县级代表活动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项目产出类指标包括产出数量、产出质量、产出时效、产出成本四方面的内容，由4个三级指标构成，权重分为40分，实际得分32.13分，得分率为80.33%。</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代表人数186人，实际代表人数185人，指标完成率99.46%，偏差0.54%。偏差原因：代表履职能力差，采取的措施：给人大代表多安排培训，提高素质；根据评分标准，该指标扣0.05分，得9.95分。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任务完成时间2024年12月，与预期目标指标一致，根据评分标准，该指标不扣分，得10分。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代表活动经费14.88万元，实际执行代表活动经费3.24万元，完成率21.77%，偏差78.23%。偏差原因：财政压力大，该笔预算资金未能如期下达。采取的措施：给人大代表多安排培训，提高素质；根据评分标准，该指标扣7.82分，得2.18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②对于“社会效益指标”：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有效保障活动积极率，与预期指标一致，根据评分标准，该指标不扣分，得5分。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明显提升工作及时完成，与预期指标一致，根据评分标准，该指标不扣分，得5分。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实施效益指标合计得10分。</w:t>
      </w:r>
      <w:r>
        <w:rPr>
          <w:rStyle w:val="17"/>
          <w:rFonts w:hint="eastAsia" w:ascii="仿宋" w:hAnsi="仿宋" w:eastAsia="仿宋" w:cs="仿宋"/>
          <w:b w:val="0"/>
          <w:bCs w:val="0"/>
          <w:spacing w:val="-4"/>
          <w:sz w:val="32"/>
          <w:szCs w:val="32"/>
        </w:rPr>
        <w:cr/>
      </w:r>
    </w:p>
    <w:p>
      <w:pPr>
        <w:spacing w:line="540" w:lineRule="exact"/>
        <w:rPr>
          <w:rStyle w:val="17"/>
          <w:rFonts w:hint="eastAsia" w:ascii="仿宋" w:hAnsi="仿宋" w:eastAsia="仿宋" w:cs="仿宋"/>
          <w:b w:val="0"/>
          <w:bCs w:val="0"/>
          <w:spacing w:val="-4"/>
          <w:sz w:val="32"/>
          <w:szCs w:val="32"/>
        </w:rPr>
      </w:pPr>
      <w:bookmarkStart w:id="0" w:name="_GoBack"/>
      <w:bookmarkEnd w:id="0"/>
      <w:r>
        <w:rPr>
          <w:rStyle w:val="17"/>
          <w:rFonts w:hint="eastAsia" w:ascii="仿宋" w:hAnsi="仿宋" w:eastAsia="仿宋" w:cs="仿宋"/>
          <w:b w:val="0"/>
          <w:bCs w:val="0"/>
          <w:spacing w:val="-4"/>
          <w:sz w:val="32"/>
          <w:szCs w:val="32"/>
        </w:rPr>
        <w:t>对于满意度指标：受益群众满意度95%，与预期目标一致，根据评分标准，该指标不扣分，得10分。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5004B99"/>
    <w:rsid w:val="08877A58"/>
    <w:rsid w:val="2AE11386"/>
    <w:rsid w:val="2D4C6AD2"/>
    <w:rsid w:val="2D5A6638"/>
    <w:rsid w:val="2D9B5225"/>
    <w:rsid w:val="340D5924"/>
    <w:rsid w:val="43B04001"/>
    <w:rsid w:val="4609551D"/>
    <w:rsid w:val="4D2606A1"/>
    <w:rsid w:val="4DD42C22"/>
    <w:rsid w:val="503863D1"/>
    <w:rsid w:val="50796DE0"/>
    <w:rsid w:val="570A7AA6"/>
    <w:rsid w:val="5DA70C36"/>
    <w:rsid w:val="685B0AC8"/>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6</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2025-11-24T08:17:08Z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