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阿克陶县公安局2024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F054B77">
      <w:r>
        <w:br w:type="page"/>
      </w:r>
    </w:p>
    <w:p w14:paraId="0C30B0E2">
      <w:pPr>
        <w:spacing w:line="640" w:lineRule="exact"/>
        <w:jc w:val="center"/>
        <w:outlineLvl w:val="1"/>
      </w:pPr>
      <w:r>
        <w:rPr>
          <w:rFonts w:ascii="黑体" w:hAnsi="黑体" w:eastAsia="黑体"/>
          <w:sz w:val="32"/>
        </w:rPr>
        <w:t>第一部分 单位概况</w:t>
      </w:r>
    </w:p>
    <w:p w14:paraId="21008777">
      <w:pPr>
        <w:spacing w:line="640" w:lineRule="exact"/>
        <w:ind w:firstLine="640"/>
        <w:jc w:val="both"/>
        <w:outlineLvl w:val="2"/>
      </w:pPr>
      <w:r>
        <w:rPr>
          <w:rFonts w:ascii="黑体" w:hAnsi="黑体" w:eastAsia="黑体"/>
          <w:sz w:val="32"/>
        </w:rPr>
        <w:t>一、主要职能</w:t>
      </w:r>
    </w:p>
    <w:p w14:paraId="59E11036">
      <w:pPr>
        <w:spacing w:line="580" w:lineRule="exact"/>
        <w:ind w:firstLine="640"/>
        <w:jc w:val="both"/>
      </w:pPr>
      <w:r>
        <w:rPr>
          <w:rFonts w:ascii="仿宋_GB2312" w:hAnsi="仿宋_GB2312" w:eastAsia="仿宋_GB2312"/>
          <w:sz w:val="32"/>
        </w:rPr>
        <w:t>本单位主要职能SM不予公开。</w:t>
      </w:r>
    </w:p>
    <w:p w14:paraId="6CF20E41">
      <w:pPr>
        <w:spacing w:line="640" w:lineRule="exact"/>
        <w:ind w:firstLine="640"/>
        <w:jc w:val="both"/>
        <w:outlineLvl w:val="2"/>
      </w:pPr>
      <w:r>
        <w:rPr>
          <w:rFonts w:ascii="黑体" w:hAnsi="黑体" w:eastAsia="黑体"/>
          <w:sz w:val="32"/>
        </w:rPr>
        <w:t>二、机构设置及人员情况</w:t>
      </w:r>
    </w:p>
    <w:p w14:paraId="4B498EC7">
      <w:pPr>
        <w:spacing w:line="580" w:lineRule="exact"/>
        <w:ind w:firstLine="640"/>
        <w:jc w:val="both"/>
      </w:pPr>
      <w:r>
        <w:rPr>
          <w:rFonts w:ascii="仿宋_GB2312" w:hAnsi="仿宋_GB2312" w:eastAsia="仿宋_GB2312"/>
          <w:sz w:val="32"/>
        </w:rPr>
        <w:t>本单位机构设置及人员情况SM不予公开。</w:t>
      </w:r>
    </w:p>
    <w:p w14:paraId="48BD2118">
      <w:r>
        <w:br w:type="page"/>
      </w:r>
    </w:p>
    <w:p w14:paraId="1ED73972">
      <w:pPr>
        <w:spacing w:line="240" w:lineRule="auto"/>
        <w:jc w:val="center"/>
        <w:outlineLvl w:val="1"/>
      </w:pPr>
      <w:r>
        <w:rPr>
          <w:rFonts w:ascii="黑体" w:hAnsi="黑体" w:eastAsia="黑体"/>
          <w:sz w:val="32"/>
        </w:rPr>
        <w:t>第二部分 部门决算情况说明</w:t>
      </w:r>
    </w:p>
    <w:p w14:paraId="56777BA8">
      <w:pPr>
        <w:spacing w:line="640" w:lineRule="exact"/>
        <w:ind w:firstLine="640"/>
        <w:jc w:val="both"/>
        <w:outlineLvl w:val="2"/>
      </w:pPr>
      <w:r>
        <w:rPr>
          <w:rFonts w:ascii="黑体" w:hAnsi="黑体" w:eastAsia="黑体"/>
          <w:sz w:val="32"/>
        </w:rPr>
        <w:t>一、收入支出决算总体情况说明</w:t>
      </w:r>
    </w:p>
    <w:p w14:paraId="5E22CE32">
      <w:pPr>
        <w:spacing w:line="580" w:lineRule="exact"/>
        <w:ind w:firstLine="640"/>
        <w:jc w:val="both"/>
      </w:pPr>
      <w:r>
        <w:rPr>
          <w:rFonts w:ascii="仿宋_GB2312" w:hAnsi="仿宋_GB2312" w:eastAsia="仿宋_GB2312"/>
          <w:b/>
          <w:sz w:val="32"/>
        </w:rPr>
        <w:t>2024年度收入总计49,392.46万元，</w:t>
      </w:r>
      <w:r>
        <w:rPr>
          <w:rFonts w:ascii="仿宋_GB2312" w:hAnsi="仿宋_GB2312" w:eastAsia="仿宋_GB2312"/>
          <w:b w:val="0"/>
          <w:sz w:val="32"/>
        </w:rPr>
        <w:t>其中：本年收入合计48,097.56万元，使用非财政拨款结余（含专用结余）0.00万元，年初结转和结余1,294.90万元。</w:t>
      </w:r>
    </w:p>
    <w:p w14:paraId="0C11BC6D">
      <w:pPr>
        <w:spacing w:line="580" w:lineRule="exact"/>
        <w:ind w:firstLine="640"/>
        <w:jc w:val="both"/>
      </w:pPr>
      <w:r>
        <w:rPr>
          <w:rFonts w:ascii="仿宋_GB2312" w:hAnsi="仿宋_GB2312" w:eastAsia="仿宋_GB2312"/>
          <w:b/>
          <w:sz w:val="32"/>
        </w:rPr>
        <w:t>2024年度支出总计49,392.46万元，</w:t>
      </w:r>
      <w:r>
        <w:rPr>
          <w:rFonts w:ascii="仿宋_GB2312" w:hAnsi="仿宋_GB2312" w:eastAsia="仿宋_GB2312"/>
          <w:b w:val="0"/>
          <w:sz w:val="32"/>
        </w:rPr>
        <w:t>其中：本年支出合计48,534.62万元，结余分配0.00万元，年末结转和结余857.84万元。</w:t>
      </w:r>
    </w:p>
    <w:p w14:paraId="57EE736D">
      <w:pPr>
        <w:spacing w:line="580" w:lineRule="exact"/>
        <w:ind w:firstLine="640"/>
        <w:jc w:val="both"/>
      </w:pPr>
      <w:r>
        <w:rPr>
          <w:rFonts w:ascii="仿宋_GB2312" w:hAnsi="仿宋_GB2312" w:eastAsia="仿宋_GB2312"/>
          <w:b w:val="0"/>
          <w:sz w:val="32"/>
        </w:rPr>
        <w:t>收入支出总体与上年相比，减少7,615.00万元，下降13.36%，主要原因是：本年减少江西援疆资金（江西民警轮岗轮训经费、技术交流经费、江西民警生活补助、援疆慰问费）；上年度非财政拨款发放自聘人员4-12月工资、10月公岗工资、工程款收入、伙食费收入，本年减少此项资金支出，经费较上年减少。</w:t>
      </w:r>
    </w:p>
    <w:p w14:paraId="1D8E79C9">
      <w:pPr>
        <w:spacing w:line="640" w:lineRule="exact"/>
        <w:ind w:firstLine="640"/>
        <w:jc w:val="both"/>
        <w:outlineLvl w:val="2"/>
      </w:pPr>
      <w:r>
        <w:rPr>
          <w:rFonts w:ascii="黑体" w:hAnsi="黑体" w:eastAsia="黑体"/>
          <w:sz w:val="32"/>
        </w:rPr>
        <w:t>二、收入决算情况说明</w:t>
      </w:r>
    </w:p>
    <w:p w14:paraId="4698659C">
      <w:pPr>
        <w:spacing w:line="580" w:lineRule="exact"/>
        <w:ind w:firstLine="640"/>
        <w:jc w:val="both"/>
      </w:pPr>
      <w:r>
        <w:rPr>
          <w:rFonts w:ascii="仿宋_GB2312" w:hAnsi="仿宋_GB2312" w:eastAsia="仿宋_GB2312"/>
          <w:b/>
          <w:sz w:val="32"/>
        </w:rPr>
        <w:t>本年收入48,097.56万元，</w:t>
      </w:r>
      <w:r>
        <w:rPr>
          <w:rFonts w:ascii="仿宋_GB2312" w:hAnsi="仿宋_GB2312" w:eastAsia="仿宋_GB2312"/>
          <w:b w:val="0"/>
          <w:sz w:val="32"/>
        </w:rPr>
        <w:t>其中：财政拨款收入43,376.94万元，占90.19%；上级补助收入0.00万元，占0.00%；事业收入0.00万元，占0.00%；经营收入0.00万元，占0.00%；附属单位上缴收入0.00万元，占0.00%；其他收入4,720.63万元，占9.81%。</w:t>
      </w:r>
    </w:p>
    <w:p w14:paraId="1AF4C5DD">
      <w:pPr>
        <w:spacing w:line="640" w:lineRule="exact"/>
        <w:ind w:firstLine="640"/>
        <w:jc w:val="both"/>
        <w:outlineLvl w:val="2"/>
      </w:pPr>
      <w:r>
        <w:rPr>
          <w:rFonts w:ascii="黑体" w:hAnsi="黑体" w:eastAsia="黑体"/>
          <w:sz w:val="32"/>
        </w:rPr>
        <w:t>三、支出决算情况说明</w:t>
      </w:r>
    </w:p>
    <w:p w14:paraId="0442791D">
      <w:pPr>
        <w:spacing w:line="580" w:lineRule="exact"/>
        <w:ind w:firstLine="640"/>
        <w:jc w:val="both"/>
      </w:pPr>
      <w:r>
        <w:rPr>
          <w:rFonts w:ascii="仿宋_GB2312" w:hAnsi="仿宋_GB2312" w:eastAsia="仿宋_GB2312"/>
          <w:b/>
          <w:sz w:val="32"/>
        </w:rPr>
        <w:t>本年支出48,534.62万元，</w:t>
      </w:r>
      <w:r>
        <w:rPr>
          <w:rFonts w:ascii="仿宋_GB2312" w:hAnsi="仿宋_GB2312" w:eastAsia="仿宋_GB2312"/>
          <w:b w:val="0"/>
          <w:sz w:val="32"/>
        </w:rPr>
        <w:t>其中：基本支出40,867.27万元，占84.20%；项目支出7,667.35万元，占15.80%；上缴上级支出0.00万元，占0.00%；经营支出0.00万元，占0.00%；对附属单位补助支出0.00万元，占0.00%。</w:t>
      </w:r>
    </w:p>
    <w:p w14:paraId="31F8A3E5">
      <w:pPr>
        <w:spacing w:line="640" w:lineRule="exact"/>
        <w:ind w:firstLine="640"/>
        <w:jc w:val="both"/>
        <w:outlineLvl w:val="2"/>
      </w:pPr>
      <w:r>
        <w:rPr>
          <w:rFonts w:ascii="黑体" w:hAnsi="黑体" w:eastAsia="黑体"/>
          <w:sz w:val="32"/>
        </w:rPr>
        <w:t>四、财政拨款收入支出决算总体情况说明</w:t>
      </w:r>
    </w:p>
    <w:p w14:paraId="5BE6BA41">
      <w:pPr>
        <w:spacing w:line="580" w:lineRule="exact"/>
        <w:ind w:firstLine="640"/>
        <w:jc w:val="both"/>
      </w:pPr>
      <w:r>
        <w:rPr>
          <w:rFonts w:ascii="仿宋_GB2312" w:hAnsi="仿宋_GB2312" w:eastAsia="仿宋_GB2312"/>
          <w:b/>
          <w:sz w:val="32"/>
        </w:rPr>
        <w:t>2024年度财政拨款收入总计43,515.59万元，</w:t>
      </w:r>
      <w:r>
        <w:rPr>
          <w:rFonts w:ascii="仿宋_GB2312" w:hAnsi="仿宋_GB2312" w:eastAsia="仿宋_GB2312"/>
          <w:b w:val="0"/>
          <w:sz w:val="32"/>
        </w:rPr>
        <w:t>其中：年初财政拨款结转和结余138.65万元，本年财政拨款收入43,376.94万元。</w:t>
      </w:r>
      <w:r>
        <w:rPr>
          <w:rFonts w:ascii="仿宋_GB2312" w:hAnsi="仿宋_GB2312" w:eastAsia="仿宋_GB2312"/>
          <w:b/>
          <w:sz w:val="32"/>
        </w:rPr>
        <w:t>财政拨款支出总计43,515.59万元，</w:t>
      </w:r>
      <w:r>
        <w:rPr>
          <w:rFonts w:ascii="仿宋_GB2312" w:hAnsi="仿宋_GB2312" w:eastAsia="仿宋_GB2312"/>
          <w:b w:val="0"/>
          <w:sz w:val="32"/>
        </w:rPr>
        <w:t>其中：年末财政拨款结转和结余25.05万元，本年财政拨款支出43,490.53万元。</w:t>
      </w:r>
    </w:p>
    <w:p w14:paraId="4431C33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增加3,896.15万元，增长9.83%，主要原因是：本年在职人员增加，在职人员工资调增、社保、公积金基数调增，人员经费增加。本年退休人员增加，退休费支出增加。</w:t>
      </w:r>
      <w:r>
        <w:rPr>
          <w:rFonts w:ascii="仿宋_GB2312" w:hAnsi="仿宋_GB2312" w:eastAsia="仿宋_GB2312"/>
          <w:b/>
          <w:sz w:val="32"/>
        </w:rPr>
        <w:t>与年初预算相比，</w:t>
      </w:r>
      <w:r>
        <w:rPr>
          <w:rFonts w:ascii="仿宋_GB2312" w:hAnsi="仿宋_GB2312" w:eastAsia="仿宋_GB2312"/>
          <w:b w:val="0"/>
          <w:sz w:val="32"/>
        </w:rPr>
        <w:t>年初预算数52,427.15万元，决算数43,515.59万元，预决算差异率-17.00%，主要原因是：年中调减行政人员津贴补贴、奖金等，年中调减办公经费、车辆保险费，导致预决算存在差异。</w:t>
      </w:r>
    </w:p>
    <w:p w14:paraId="07605E65">
      <w:pPr>
        <w:spacing w:line="640" w:lineRule="exact"/>
        <w:ind w:firstLine="640"/>
        <w:jc w:val="both"/>
        <w:outlineLvl w:val="2"/>
      </w:pPr>
      <w:r>
        <w:rPr>
          <w:rFonts w:ascii="黑体" w:hAnsi="黑体" w:eastAsia="黑体"/>
          <w:sz w:val="32"/>
        </w:rPr>
        <w:t>五、一般公共预算财政拨款支出决算情况说明</w:t>
      </w:r>
    </w:p>
    <w:p w14:paraId="4946FC7D">
      <w:pPr>
        <w:spacing w:line="640" w:lineRule="exact"/>
        <w:ind w:firstLine="640"/>
        <w:jc w:val="both"/>
        <w:outlineLvl w:val="3"/>
      </w:pPr>
      <w:r>
        <w:rPr>
          <w:rFonts w:ascii="楷体_GB2312" w:hAnsi="楷体_GB2312" w:eastAsia="楷体_GB2312"/>
          <w:b/>
          <w:sz w:val="32"/>
        </w:rPr>
        <w:t>（一）一般公共预算财政拨款支出决算总体情况</w:t>
      </w:r>
    </w:p>
    <w:p w14:paraId="1CBB187B">
      <w:pPr>
        <w:spacing w:line="580" w:lineRule="exact"/>
        <w:ind w:firstLine="640"/>
        <w:jc w:val="both"/>
      </w:pPr>
      <w:r>
        <w:rPr>
          <w:rFonts w:ascii="仿宋_GB2312" w:hAnsi="仿宋_GB2312" w:eastAsia="仿宋_GB2312"/>
          <w:b/>
          <w:sz w:val="32"/>
        </w:rPr>
        <w:t>2024年度一般公共预算财政拨款支出43,490.53万元，</w:t>
      </w:r>
      <w:r>
        <w:rPr>
          <w:rFonts w:ascii="仿宋_GB2312" w:hAnsi="仿宋_GB2312" w:eastAsia="仿宋_GB2312"/>
          <w:b w:val="0"/>
          <w:sz w:val="32"/>
        </w:rPr>
        <w:t>占本年支出合计的89.61%。</w:t>
      </w:r>
      <w:r>
        <w:rPr>
          <w:rFonts w:ascii="仿宋_GB2312" w:hAnsi="仿宋_GB2312" w:eastAsia="仿宋_GB2312"/>
          <w:b/>
          <w:sz w:val="32"/>
        </w:rPr>
        <w:t>与上年相比，</w:t>
      </w:r>
      <w:r>
        <w:rPr>
          <w:rFonts w:ascii="仿宋_GB2312" w:hAnsi="仿宋_GB2312" w:eastAsia="仿宋_GB2312"/>
          <w:b w:val="0"/>
          <w:sz w:val="32"/>
        </w:rPr>
        <w:t>增加4,269.63万元，增长10.89%，主要原因是：本年在职人员增加，在职人员工资调增、社保、公积金基数调增，人员经费增加。本年退休人员增加，退休费支出增加。</w:t>
      </w:r>
      <w:r>
        <w:rPr>
          <w:rFonts w:ascii="仿宋_GB2312" w:hAnsi="仿宋_GB2312" w:eastAsia="仿宋_GB2312"/>
          <w:b/>
          <w:sz w:val="32"/>
        </w:rPr>
        <w:t>与年初预算相比,</w:t>
      </w:r>
      <w:r>
        <w:rPr>
          <w:rFonts w:ascii="仿宋_GB2312" w:hAnsi="仿宋_GB2312" w:eastAsia="仿宋_GB2312"/>
          <w:b w:val="0"/>
          <w:sz w:val="32"/>
        </w:rPr>
        <w:t>年初预算数52,427.15万元，决算数43,490.53万元，预决算差异率-17.05%，主要原因是：年中调减行政人员津贴补贴、奖金等，年中调减办公经费、车辆保险费，导致预决算存在差异。</w:t>
      </w:r>
    </w:p>
    <w:p w14:paraId="515BE820">
      <w:pPr>
        <w:spacing w:line="640" w:lineRule="exact"/>
        <w:ind w:firstLine="640"/>
        <w:jc w:val="both"/>
        <w:outlineLvl w:val="3"/>
      </w:pPr>
      <w:r>
        <w:rPr>
          <w:rFonts w:ascii="楷体_GB2312" w:hAnsi="楷体_GB2312" w:eastAsia="楷体_GB2312"/>
          <w:b/>
          <w:sz w:val="32"/>
        </w:rPr>
        <w:t>（二）一般公共预算财政拨款支出决算结构情况</w:t>
      </w:r>
    </w:p>
    <w:p w14:paraId="4DBBD312">
      <w:pPr>
        <w:spacing w:line="580" w:lineRule="exact"/>
        <w:ind w:firstLine="640"/>
        <w:jc w:val="both"/>
      </w:pPr>
      <w:r>
        <w:rPr>
          <w:rFonts w:ascii="仿宋_GB2312" w:hAnsi="仿宋_GB2312" w:eastAsia="仿宋_GB2312"/>
          <w:b w:val="0"/>
          <w:sz w:val="32"/>
        </w:rPr>
        <w:t>1.一般公共服务支出(类)2.06万元,占0.005%。</w:t>
      </w:r>
    </w:p>
    <w:p w14:paraId="376757F1">
      <w:pPr>
        <w:spacing w:line="580" w:lineRule="exact"/>
        <w:ind w:firstLine="640"/>
        <w:jc w:val="both"/>
      </w:pPr>
      <w:r>
        <w:rPr>
          <w:rFonts w:ascii="仿宋_GB2312" w:hAnsi="仿宋_GB2312" w:eastAsia="仿宋_GB2312"/>
          <w:b w:val="0"/>
          <w:sz w:val="32"/>
        </w:rPr>
        <w:t>2.公共安全支出(类)35,920.97万元,占82.59%。</w:t>
      </w:r>
    </w:p>
    <w:p w14:paraId="01414806">
      <w:pPr>
        <w:spacing w:line="580" w:lineRule="exact"/>
        <w:ind w:firstLine="640"/>
        <w:jc w:val="both"/>
      </w:pPr>
      <w:r>
        <w:rPr>
          <w:rFonts w:ascii="仿宋_GB2312" w:hAnsi="仿宋_GB2312" w:eastAsia="仿宋_GB2312"/>
          <w:b w:val="0"/>
          <w:sz w:val="32"/>
        </w:rPr>
        <w:t>3.社会保障和就业支出(类)3,624.72万元,占8.33%。</w:t>
      </w:r>
    </w:p>
    <w:p w14:paraId="5BFAACE9">
      <w:pPr>
        <w:spacing w:line="580" w:lineRule="exact"/>
        <w:ind w:firstLine="640"/>
        <w:jc w:val="both"/>
      </w:pPr>
      <w:r>
        <w:rPr>
          <w:rFonts w:ascii="仿宋_GB2312" w:hAnsi="仿宋_GB2312" w:eastAsia="仿宋_GB2312"/>
          <w:b w:val="0"/>
          <w:sz w:val="32"/>
        </w:rPr>
        <w:t>4.卫生健康支出(类)1,306.00万元,占3.00%。</w:t>
      </w:r>
    </w:p>
    <w:p w14:paraId="400E27C3">
      <w:pPr>
        <w:spacing w:line="580" w:lineRule="exact"/>
        <w:ind w:firstLine="640"/>
        <w:jc w:val="both"/>
      </w:pPr>
      <w:r>
        <w:rPr>
          <w:rFonts w:ascii="仿宋_GB2312" w:hAnsi="仿宋_GB2312" w:eastAsia="仿宋_GB2312"/>
          <w:b w:val="0"/>
          <w:sz w:val="32"/>
        </w:rPr>
        <w:t>5.住房保障支出(类)2,636.78万元,占6.06%。</w:t>
      </w:r>
    </w:p>
    <w:p w14:paraId="289FD17C">
      <w:pPr>
        <w:spacing w:line="640" w:lineRule="exact"/>
        <w:ind w:firstLine="640"/>
        <w:jc w:val="both"/>
        <w:outlineLvl w:val="3"/>
      </w:pPr>
      <w:r>
        <w:rPr>
          <w:rFonts w:ascii="楷体_GB2312" w:hAnsi="楷体_GB2312" w:eastAsia="楷体_GB2312"/>
          <w:b/>
          <w:sz w:val="32"/>
        </w:rPr>
        <w:t>（三）一般公共预算财政拨款支出决算具体情况</w:t>
      </w:r>
    </w:p>
    <w:p w14:paraId="73991C0A">
      <w:pPr>
        <w:spacing w:line="580" w:lineRule="exact"/>
        <w:ind w:firstLine="640"/>
        <w:jc w:val="both"/>
      </w:pPr>
      <w:r>
        <w:rPr>
          <w:rFonts w:ascii="仿宋_GB2312" w:hAnsi="仿宋_GB2312" w:eastAsia="仿宋_GB2312"/>
          <w:b w:val="0"/>
          <w:sz w:val="32"/>
        </w:rPr>
        <w:t>1.一般公共服务支出(类)组织事务(款)其他组织事务支出(项):支出决算数为2.06万元，比上年决算增加0.11万元，增长5.64%,主要原因是：本年增加援建干部艰苦边远补贴和南疆补贴业务经费。</w:t>
      </w:r>
    </w:p>
    <w:p w14:paraId="55162D3E">
      <w:pPr>
        <w:spacing w:line="580" w:lineRule="exact"/>
        <w:ind w:firstLine="640"/>
        <w:jc w:val="both"/>
      </w:pPr>
      <w:r>
        <w:rPr>
          <w:rFonts w:ascii="仿宋_GB2312" w:hAnsi="仿宋_GB2312" w:eastAsia="仿宋_GB2312"/>
          <w:b w:val="0"/>
          <w:sz w:val="32"/>
        </w:rPr>
        <w:t>2.公共安全支出(类)公安(款)行政运行(项):支出决算数为13,682.63万元，比上年决算减少7,727.18万元，下降36.09%,主要原因是：本年在职人员津贴补贴、奖金、办公经费、车辆保险费较上年减少。</w:t>
      </w:r>
    </w:p>
    <w:p w14:paraId="30ADE096">
      <w:pPr>
        <w:spacing w:line="580" w:lineRule="exact"/>
        <w:ind w:firstLine="640"/>
        <w:jc w:val="both"/>
      </w:pPr>
      <w:r>
        <w:rPr>
          <w:rFonts w:ascii="仿宋_GB2312" w:hAnsi="仿宋_GB2312" w:eastAsia="仿宋_GB2312"/>
          <w:b w:val="0"/>
          <w:sz w:val="32"/>
        </w:rPr>
        <w:t>3.公共安全支出(类)公安(款)执法办案(项):支出决算数为0.00万元，比上年决算减少37.00万元，下降100.00%,主要原因是：本年公安交警业务经费减少。</w:t>
      </w:r>
    </w:p>
    <w:p w14:paraId="08A3B250">
      <w:pPr>
        <w:spacing w:line="580" w:lineRule="exact"/>
        <w:ind w:firstLine="640"/>
        <w:jc w:val="both"/>
      </w:pPr>
      <w:r>
        <w:rPr>
          <w:rFonts w:ascii="仿宋_GB2312" w:hAnsi="仿宋_GB2312" w:eastAsia="仿宋_GB2312"/>
          <w:b w:val="0"/>
          <w:sz w:val="32"/>
        </w:rPr>
        <w:t>4.公共安全支出(类)公安(款)移民事务(项):支出决算数为0.00万元，比上年决算减少145.40万元，下降100.00%,主要原因是：本年专项项目经费减少。</w:t>
      </w:r>
    </w:p>
    <w:p w14:paraId="3AE70235">
      <w:pPr>
        <w:spacing w:line="580" w:lineRule="exact"/>
        <w:ind w:firstLine="640"/>
        <w:jc w:val="both"/>
      </w:pPr>
      <w:r>
        <w:rPr>
          <w:rFonts w:ascii="仿宋_GB2312" w:hAnsi="仿宋_GB2312" w:eastAsia="仿宋_GB2312"/>
          <w:b w:val="0"/>
          <w:sz w:val="32"/>
        </w:rPr>
        <w:t>5.公共安全支出(类)公安(款)事业运行(项):支出决算数为16,305.55万元，比上年决算增加9,350.50万元，增长134.44%,主要原因是：本年在职人员工资调增，导致相关人员经费较上年有所增加。</w:t>
      </w:r>
    </w:p>
    <w:p w14:paraId="527987F2">
      <w:pPr>
        <w:spacing w:line="580" w:lineRule="exact"/>
        <w:ind w:firstLine="640"/>
        <w:jc w:val="both"/>
      </w:pPr>
      <w:r>
        <w:rPr>
          <w:rFonts w:ascii="仿宋_GB2312" w:hAnsi="仿宋_GB2312" w:eastAsia="仿宋_GB2312"/>
          <w:b w:val="0"/>
          <w:sz w:val="32"/>
        </w:rPr>
        <w:t>6.公共安全支出(类)公安(款)其他公安支出(项):支出决算数为4,203.53万元，比上年决算减少361.32万元，下降7.92%,主要原因是：本年减少全区公安机关警务辅助人员重大任务安保经费项目，导致经费减少。</w:t>
      </w:r>
    </w:p>
    <w:p w14:paraId="17916BDF">
      <w:pPr>
        <w:spacing w:line="580" w:lineRule="exact"/>
        <w:ind w:firstLine="640"/>
        <w:jc w:val="both"/>
      </w:pPr>
      <w:r>
        <w:rPr>
          <w:rFonts w:ascii="仿宋_GB2312" w:hAnsi="仿宋_GB2312" w:eastAsia="仿宋_GB2312"/>
          <w:b w:val="0"/>
          <w:sz w:val="32"/>
        </w:rPr>
        <w:t>7.公共安全支出(类)其他公共安全支出(款)其他公共安全支出(项):支出决算数为1,729.26万元，比上年决算减少71.10万元，下降3.95%,主要原因是：本年实战训练基地建设</w:t>
      </w:r>
      <w:r>
        <w:rPr>
          <w:rFonts w:hint="eastAsia" w:ascii="仿宋_GB2312" w:hAnsi="仿宋_GB2312" w:eastAsia="仿宋_GB2312"/>
          <w:b w:val="0"/>
          <w:sz w:val="32"/>
          <w:lang w:eastAsia="zh-CN"/>
        </w:rPr>
        <w:t>项目</w:t>
      </w:r>
      <w:r>
        <w:rPr>
          <w:rFonts w:ascii="仿宋_GB2312" w:hAnsi="仿宋_GB2312" w:eastAsia="仿宋_GB2312"/>
          <w:b w:val="0"/>
          <w:sz w:val="32"/>
        </w:rPr>
        <w:t>未完工，经费未支付，导致经费减少。</w:t>
      </w:r>
      <w:bookmarkStart w:id="0" w:name="_GoBack"/>
      <w:bookmarkEnd w:id="0"/>
    </w:p>
    <w:p w14:paraId="7AC3CCE3">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8.社会保障和就业支出(类)行政事业单位养老支出(款)行政单位离退休(项):支出决算数为132.36万元，比上年决算增加28.79万元，增长27.80%,主要原因是：本年退休人员增加，退休费支出增加。</w:t>
      </w:r>
    </w:p>
    <w:p w14:paraId="55DA8C3B">
      <w:pPr>
        <w:spacing w:line="580" w:lineRule="exact"/>
        <w:ind w:firstLine="640"/>
        <w:jc w:val="both"/>
      </w:pPr>
      <w:r>
        <w:rPr>
          <w:rFonts w:ascii="仿宋_GB2312" w:hAnsi="仿宋_GB2312" w:eastAsia="仿宋_GB2312"/>
          <w:b w:val="0"/>
          <w:sz w:val="32"/>
        </w:rPr>
        <w:t>9.社会保障和就业支出(类)行政事业单位养老支出(款)事业单位离退休(项):支出决算数为1.24万元，比上年决算增加0.21万元，增长20.39%,主要原因是：本年增加退休人员基础绩效奖，退休费支出增加。</w:t>
      </w:r>
    </w:p>
    <w:p w14:paraId="6D9F78D9">
      <w:pPr>
        <w:spacing w:line="580" w:lineRule="exact"/>
        <w:ind w:firstLine="640"/>
        <w:jc w:val="both"/>
      </w:pPr>
      <w:r>
        <w:rPr>
          <w:rFonts w:ascii="仿宋_GB2312" w:hAnsi="仿宋_GB2312" w:eastAsia="仿宋_GB2312"/>
          <w:b w:val="0"/>
          <w:sz w:val="32"/>
        </w:rPr>
        <w:t>10.社会保障和就业支出(类)行政事业单位养老支出(款)机关事业单位基本养老保险缴费支出(项):支出决算数为3,355.38万元，比上年决算增加1,438.27万元，增长75.02%,主要原因是：本年在职人员工资基数调增，养老缴费基数上涨，相应支出增加。</w:t>
      </w:r>
    </w:p>
    <w:p w14:paraId="562DFA93">
      <w:pPr>
        <w:spacing w:line="580" w:lineRule="exact"/>
        <w:ind w:firstLine="640"/>
        <w:jc w:val="both"/>
      </w:pPr>
      <w:r>
        <w:rPr>
          <w:rFonts w:ascii="仿宋_GB2312" w:hAnsi="仿宋_GB2312" w:eastAsia="仿宋_GB2312"/>
          <w:b w:val="0"/>
          <w:sz w:val="32"/>
        </w:rPr>
        <w:t>11.社会保障和就业支出(类)行政事业单位养老支出(款)机关事业单位职业年金缴费支出(项):支出决算数为98.42万元，比上年决算增加14.09万元，增长16.71%,主要原因是：本年新增退休人员，职业年金缴费支出增加。</w:t>
      </w:r>
    </w:p>
    <w:p w14:paraId="137A61C8">
      <w:pPr>
        <w:spacing w:line="580" w:lineRule="exact"/>
        <w:ind w:firstLine="640"/>
        <w:jc w:val="both"/>
      </w:pPr>
      <w:r>
        <w:rPr>
          <w:rFonts w:ascii="仿宋_GB2312" w:hAnsi="仿宋_GB2312" w:eastAsia="仿宋_GB2312"/>
          <w:b w:val="0"/>
          <w:sz w:val="32"/>
        </w:rPr>
        <w:t>12.社会保障和就业支出(类)抚恤(款)死亡抚恤(项):支出决算数为37.33万元，比上年决算减少68.93万元，下降64.87%,主要原因是：本年新增死亡人员较上年减少，死亡抚恤支出较上年减少。</w:t>
      </w:r>
    </w:p>
    <w:p w14:paraId="45B163B4">
      <w:pPr>
        <w:spacing w:line="580" w:lineRule="exact"/>
        <w:ind w:firstLine="640"/>
        <w:jc w:val="both"/>
      </w:pPr>
      <w:r>
        <w:rPr>
          <w:rFonts w:ascii="仿宋_GB2312" w:hAnsi="仿宋_GB2312" w:eastAsia="仿宋_GB2312"/>
          <w:b w:val="0"/>
          <w:sz w:val="32"/>
        </w:rPr>
        <w:t>13.卫生健康支出(类)行政事业单位医疗(款)行政单位医疗(项):支出决算数为427.51万元，比上年决算增加47.53万元，增长12.51%,主要原因是：本年在职人员工资基数调增，医疗缴费基数上涨，相应支出增加。</w:t>
      </w:r>
    </w:p>
    <w:p w14:paraId="14C42A71">
      <w:pPr>
        <w:spacing w:line="580" w:lineRule="exact"/>
        <w:ind w:firstLine="640"/>
        <w:jc w:val="both"/>
      </w:pPr>
      <w:r>
        <w:rPr>
          <w:rFonts w:ascii="仿宋_GB2312" w:hAnsi="仿宋_GB2312" w:eastAsia="仿宋_GB2312"/>
          <w:b w:val="0"/>
          <w:sz w:val="32"/>
        </w:rPr>
        <w:t>14.卫生健康支出(类)行政事业单位医疗(款)事业单位医疗(项):支出决算数为878.49万元，比上年决算增加518.48万元，增长144.02%,主要原因是：本年在职人员工资基数调增，医疗缴费基数上涨，相应支出增加。</w:t>
      </w:r>
    </w:p>
    <w:p w14:paraId="51F77A6B">
      <w:pPr>
        <w:spacing w:line="580" w:lineRule="exact"/>
        <w:ind w:firstLine="640"/>
        <w:jc w:val="both"/>
      </w:pPr>
      <w:r>
        <w:rPr>
          <w:rFonts w:ascii="仿宋_GB2312" w:hAnsi="仿宋_GB2312" w:eastAsia="仿宋_GB2312"/>
          <w:b w:val="0"/>
          <w:sz w:val="32"/>
        </w:rPr>
        <w:t>15.住房保障支出(类)住房改革支出(款)住房公积金(项):支出决算数为2,636.78万元，比上年决算增加1,282.59万元，增长94.71%,主要原因是：本年在职人员工资基数调增，公积金缴费基数上涨，相应支出增加。</w:t>
      </w:r>
    </w:p>
    <w:p w14:paraId="4735E0F8">
      <w:pPr>
        <w:spacing w:line="640" w:lineRule="exact"/>
        <w:ind w:firstLine="640"/>
        <w:jc w:val="both"/>
        <w:outlineLvl w:val="2"/>
      </w:pPr>
      <w:r>
        <w:rPr>
          <w:rFonts w:ascii="黑体" w:hAnsi="黑体" w:eastAsia="黑体"/>
          <w:sz w:val="32"/>
        </w:rPr>
        <w:t>六、一般公共预算财政拨款基本支出决算情况说明</w:t>
      </w:r>
    </w:p>
    <w:p w14:paraId="68D71DB7">
      <w:pPr>
        <w:spacing w:line="580" w:lineRule="exact"/>
        <w:ind w:firstLine="640"/>
        <w:jc w:val="both"/>
      </w:pPr>
      <w:r>
        <w:rPr>
          <w:rFonts w:ascii="仿宋_GB2312" w:hAnsi="仿宋_GB2312" w:eastAsia="仿宋_GB2312"/>
          <w:b w:val="0"/>
          <w:sz w:val="32"/>
        </w:rPr>
        <w:t>2024年度一般公共预算财政拨款基本支出37,557.74万元，其中：</w:t>
      </w:r>
      <w:r>
        <w:rPr>
          <w:rFonts w:ascii="仿宋_GB2312" w:hAnsi="仿宋_GB2312" w:eastAsia="仿宋_GB2312"/>
          <w:b/>
          <w:sz w:val="32"/>
        </w:rPr>
        <w:t>人员经费36,308.78万元，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14:paraId="70504189">
      <w:pPr>
        <w:spacing w:line="580" w:lineRule="exact"/>
        <w:ind w:firstLine="640"/>
        <w:jc w:val="both"/>
      </w:pPr>
      <w:r>
        <w:rPr>
          <w:rFonts w:ascii="仿宋_GB2312" w:hAnsi="仿宋_GB2312" w:eastAsia="仿宋_GB2312"/>
          <w:b/>
          <w:sz w:val="32"/>
        </w:rPr>
        <w:t>公用经费1,248.96万元，</w:t>
      </w:r>
      <w:r>
        <w:rPr>
          <w:rFonts w:ascii="仿宋_GB2312" w:hAnsi="仿宋_GB2312" w:eastAsia="仿宋_GB2312"/>
          <w:b w:val="0"/>
          <w:sz w:val="32"/>
        </w:rPr>
        <w:t>包括：办公费、水费、电费、取暖费、物业管理费、差旅费、维修（护）费、租赁费、培训费、专用材料费、公务用车运行维护费、其他商品和服务支出。</w:t>
      </w:r>
    </w:p>
    <w:p w14:paraId="7D0FC430">
      <w:pPr>
        <w:spacing w:line="640" w:lineRule="exact"/>
        <w:ind w:firstLine="640"/>
        <w:jc w:val="both"/>
        <w:outlineLvl w:val="2"/>
      </w:pPr>
      <w:r>
        <w:rPr>
          <w:rFonts w:ascii="黑体" w:hAnsi="黑体" w:eastAsia="黑体"/>
          <w:sz w:val="32"/>
        </w:rPr>
        <w:t>七、政府性基金预算财政拨款收入支出决算情况说明</w:t>
      </w:r>
    </w:p>
    <w:p w14:paraId="6BE5C7A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ABFA1CA">
      <w:pPr>
        <w:spacing w:line="640" w:lineRule="exact"/>
        <w:ind w:firstLine="640"/>
        <w:jc w:val="both"/>
        <w:outlineLvl w:val="2"/>
      </w:pPr>
      <w:r>
        <w:rPr>
          <w:rFonts w:ascii="黑体" w:hAnsi="黑体" w:eastAsia="黑体"/>
          <w:sz w:val="32"/>
        </w:rPr>
        <w:t>八、国有资本经营预算财政拨款收入支出决算情况说明</w:t>
      </w:r>
    </w:p>
    <w:p w14:paraId="4F5E114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AA15E7D">
      <w:pPr>
        <w:spacing w:line="640" w:lineRule="exact"/>
        <w:ind w:firstLine="640"/>
        <w:jc w:val="both"/>
        <w:outlineLvl w:val="2"/>
      </w:pPr>
      <w:r>
        <w:rPr>
          <w:rFonts w:ascii="黑体" w:hAnsi="黑体" w:eastAsia="黑体"/>
          <w:sz w:val="32"/>
        </w:rPr>
        <w:t>九、财政拨款“三公”经费支出决算情况说明</w:t>
      </w:r>
    </w:p>
    <w:p w14:paraId="5824FC05">
      <w:pPr>
        <w:spacing w:line="580" w:lineRule="exact"/>
        <w:ind w:firstLine="640"/>
        <w:jc w:val="both"/>
      </w:pPr>
      <w:r>
        <w:rPr>
          <w:rFonts w:ascii="仿宋_GB2312" w:hAnsi="仿宋_GB2312" w:eastAsia="仿宋_GB2312"/>
          <w:b/>
          <w:sz w:val="32"/>
        </w:rPr>
        <w:t>2024年度财政拨款“三公”经费支出30.60万元，</w:t>
      </w:r>
      <w:r>
        <w:rPr>
          <w:rFonts w:ascii="仿宋_GB2312" w:hAnsi="仿宋_GB2312" w:eastAsia="仿宋_GB2312"/>
          <w:b w:val="0"/>
          <w:sz w:val="32"/>
        </w:rPr>
        <w:t>比上年减少51.06万元，下降62.53%，主要原因是：2024年未购置车辆，严格落实中央八项规定精神，厉行节约，减少公务用车运行维护费。其中：因公出国（境）费支出0.00万元，占0.00%，比上年增加0.00万元，增长0.00%，主要原因是：2023年与2024年均未安排因公出国（境）费支出。公务用车购置及运行维护费支出30.60万元，占100.00%，比上年减少51.06万元，下降62.53%，主要原因是：2024年未购置车辆，严格落实中央八项规定精神，厉行节约，减少公务用车运行维护费。公务接待费支出0.00万元，占0.00%，比上年增加0.00万元，增长0.00%，主要原因是：2023年与2024年均未安排公务接待费支出。</w:t>
      </w:r>
    </w:p>
    <w:p w14:paraId="70D06E51">
      <w:pPr>
        <w:spacing w:line="580" w:lineRule="exact"/>
        <w:ind w:firstLine="640"/>
        <w:jc w:val="both"/>
      </w:pPr>
      <w:r>
        <w:rPr>
          <w:rFonts w:ascii="仿宋_GB2312" w:hAnsi="仿宋_GB2312" w:eastAsia="仿宋_GB2312"/>
          <w:b/>
          <w:sz w:val="32"/>
        </w:rPr>
        <w:t>具体情况如下：</w:t>
      </w:r>
    </w:p>
    <w:p w14:paraId="1F90F95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1F3FFDF">
      <w:pPr>
        <w:spacing w:line="580" w:lineRule="exact"/>
        <w:ind w:firstLine="640"/>
        <w:jc w:val="both"/>
      </w:pPr>
      <w:r>
        <w:rPr>
          <w:rFonts w:ascii="仿宋_GB2312" w:hAnsi="仿宋_GB2312" w:eastAsia="仿宋_GB2312"/>
          <w:b w:val="0"/>
          <w:sz w:val="32"/>
        </w:rPr>
        <w:t>公务用车购置及运行维护费30.60万元，其中：公务用车购置费0.00万元，公务用车运行维护费30.60万元。公务用车运行维护费开支内容包括车辆保险费、过路费。公务用车购置数0辆，公务用车保有量14辆。国有资产占用情况中固定资产车辆376辆，与公务用车保有量差异原因是：单位业务用车，车辆费用未使用财政拨款公务用车运行维护费支付，由中央转移支付经费保障。</w:t>
      </w:r>
    </w:p>
    <w:p w14:paraId="1E69207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0974F1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30.60万元，决算数30.60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30.60万元，决算数30.60万元，预决算差异率0.00%，主要原因是：严格按照预算执行，预决算无差异。公务接待费全年预算数0.00万元，决算数0.00万元，预决算差异率0.00%，主要原因是：本单位无公务接待费。</w:t>
      </w:r>
    </w:p>
    <w:p w14:paraId="1D9DA0E0">
      <w:pPr>
        <w:spacing w:line="640" w:lineRule="exact"/>
        <w:ind w:firstLine="640"/>
        <w:jc w:val="both"/>
        <w:outlineLvl w:val="2"/>
      </w:pPr>
      <w:r>
        <w:rPr>
          <w:rFonts w:ascii="黑体" w:hAnsi="黑体" w:eastAsia="黑体"/>
          <w:sz w:val="32"/>
        </w:rPr>
        <w:t>十、其他重要事项的情况说明</w:t>
      </w:r>
    </w:p>
    <w:p w14:paraId="21E5CC61">
      <w:pPr>
        <w:spacing w:line="640" w:lineRule="exact"/>
        <w:ind w:firstLine="640"/>
        <w:jc w:val="both"/>
        <w:outlineLvl w:val="3"/>
      </w:pPr>
      <w:r>
        <w:rPr>
          <w:rFonts w:ascii="楷体_GB2312" w:hAnsi="楷体_GB2312" w:eastAsia="楷体_GB2312"/>
          <w:b/>
          <w:sz w:val="32"/>
        </w:rPr>
        <w:t>（一）机关运行经费及公用经费支出情况</w:t>
      </w:r>
    </w:p>
    <w:p w14:paraId="15E818C4">
      <w:pPr>
        <w:spacing w:line="580" w:lineRule="exact"/>
        <w:ind w:firstLine="640"/>
        <w:jc w:val="both"/>
      </w:pPr>
      <w:r>
        <w:rPr>
          <w:rFonts w:ascii="仿宋_GB2312" w:hAnsi="仿宋_GB2312" w:eastAsia="仿宋_GB2312"/>
          <w:b w:val="0"/>
          <w:sz w:val="32"/>
        </w:rPr>
        <w:t>2024年度阿克陶县公安局（行政单位和参照公务员法管理事业单位）机关运行经费支出1,248.96万元，比上年减少3,646.83万元，下降74.49%，主要原因是：本年只体现在编人员经费保障，其他人员经费保障不在日常公用经费体现，减少经费支出。本年减少单位业务用车保险经费，导致公用经费减少。</w:t>
      </w:r>
    </w:p>
    <w:p w14:paraId="6412083E">
      <w:pPr>
        <w:spacing w:line="640" w:lineRule="exact"/>
        <w:ind w:firstLine="640"/>
        <w:jc w:val="both"/>
        <w:outlineLvl w:val="3"/>
      </w:pPr>
      <w:r>
        <w:rPr>
          <w:rFonts w:ascii="楷体_GB2312" w:hAnsi="楷体_GB2312" w:eastAsia="楷体_GB2312"/>
          <w:b/>
          <w:sz w:val="32"/>
        </w:rPr>
        <w:t>（二）政府采购情况</w:t>
      </w:r>
    </w:p>
    <w:p w14:paraId="0E6FB750">
      <w:pPr>
        <w:spacing w:line="580" w:lineRule="exact"/>
        <w:ind w:firstLine="640"/>
        <w:jc w:val="both"/>
      </w:pPr>
      <w:r>
        <w:rPr>
          <w:rFonts w:ascii="仿宋_GB2312" w:hAnsi="仿宋_GB2312" w:eastAsia="仿宋_GB2312"/>
          <w:b w:val="0"/>
          <w:sz w:val="32"/>
        </w:rPr>
        <w:t>2024年度政府采购支出总额2,695.28万元，其中：政府采购货物支出2,282.59万元、政府采购工程支出234.22万元、政府采购服务支出178.47万元。</w:t>
      </w:r>
    </w:p>
    <w:p w14:paraId="0C666A0F">
      <w:pPr>
        <w:spacing w:line="580" w:lineRule="exact"/>
        <w:ind w:firstLine="640"/>
        <w:jc w:val="both"/>
      </w:pPr>
      <w:r>
        <w:rPr>
          <w:rFonts w:ascii="仿宋_GB2312" w:hAnsi="仿宋_GB2312" w:eastAsia="仿宋_GB2312"/>
          <w:b w:val="0"/>
          <w:sz w:val="32"/>
        </w:rPr>
        <w:t>授予中小企业合同金额2,689.82万元，占政府采购支出总额的99.80%，其中：授予小微企业合同金额2,671.82万元，占政府采购支出总额的99.13%。</w:t>
      </w:r>
    </w:p>
    <w:p w14:paraId="5C8F33E2">
      <w:pPr>
        <w:spacing w:line="640" w:lineRule="exact"/>
        <w:ind w:firstLine="640"/>
        <w:jc w:val="both"/>
        <w:outlineLvl w:val="3"/>
      </w:pPr>
      <w:r>
        <w:rPr>
          <w:rFonts w:ascii="楷体_GB2312" w:hAnsi="楷体_GB2312" w:eastAsia="楷体_GB2312"/>
          <w:b/>
          <w:sz w:val="32"/>
        </w:rPr>
        <w:t>（三）国有资产占用情况说明</w:t>
      </w:r>
    </w:p>
    <w:p w14:paraId="305FFBE6">
      <w:pPr>
        <w:spacing w:line="580" w:lineRule="exact"/>
        <w:ind w:firstLine="640"/>
        <w:jc w:val="both"/>
      </w:pPr>
      <w:r>
        <w:rPr>
          <w:rFonts w:ascii="仿宋_GB2312" w:hAnsi="仿宋_GB2312" w:eastAsia="仿宋_GB2312"/>
          <w:b w:val="0"/>
          <w:sz w:val="32"/>
        </w:rPr>
        <w:t>截至2024年12月31日，房屋95,378.12平方米，价值24,667.82万元。车辆376辆，价值3,878.98万元，其中：副部（省）级及以上领导用车0辆、主要负责人用车0辆、机要通信用车0辆、应急保障用车1辆、执法执勤用车366辆、特种专业技术用车5辆、离退休干部服务用车0辆、其他用车4辆，其他用车主要是：一般公务用车和单位业务用车。单价100万元（含）以上设备（不含车辆）50台（套）。</w:t>
      </w:r>
    </w:p>
    <w:p w14:paraId="4BF41963">
      <w:pPr>
        <w:spacing w:line="640" w:lineRule="exact"/>
        <w:ind w:firstLine="640"/>
        <w:jc w:val="both"/>
        <w:outlineLvl w:val="2"/>
      </w:pPr>
      <w:r>
        <w:rPr>
          <w:rFonts w:ascii="黑体" w:hAnsi="黑体" w:eastAsia="黑体"/>
          <w:sz w:val="32"/>
        </w:rPr>
        <w:t>十一、预算绩效的情况说明</w:t>
      </w:r>
    </w:p>
    <w:p w14:paraId="4A1FCEE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w:t>
      </w:r>
      <w:r>
        <w:rPr>
          <w:rFonts w:hint="eastAsia" w:ascii="仿宋_GB2312" w:hAnsi="仿宋_GB2312" w:eastAsia="仿宋_GB2312"/>
          <w:b w:val="0"/>
          <w:sz w:val="32"/>
        </w:rPr>
        <w:t>49</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392.46</w:t>
      </w:r>
      <w:r>
        <w:rPr>
          <w:rFonts w:ascii="仿宋_GB2312" w:hAnsi="仿宋_GB2312" w:eastAsia="仿宋_GB2312"/>
          <w:b w:val="0"/>
          <w:sz w:val="32"/>
        </w:rPr>
        <w:t>万元，实际执行总额</w:t>
      </w:r>
      <w:r>
        <w:rPr>
          <w:rFonts w:hint="eastAsia" w:ascii="仿宋_GB2312" w:hAnsi="仿宋_GB2312" w:eastAsia="仿宋_GB2312"/>
          <w:b w:val="0"/>
          <w:sz w:val="32"/>
        </w:rPr>
        <w:t>48</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534.62</w:t>
      </w:r>
      <w:r>
        <w:rPr>
          <w:rFonts w:ascii="仿宋_GB2312" w:hAnsi="仿宋_GB2312" w:eastAsia="仿宋_GB2312"/>
          <w:b w:val="0"/>
          <w:sz w:val="32"/>
        </w:rPr>
        <w:t>万元；预算绩效评价项目</w:t>
      </w:r>
      <w:r>
        <w:rPr>
          <w:rFonts w:hint="eastAsia" w:ascii="仿宋_GB2312" w:hAnsi="仿宋_GB2312" w:eastAsia="仿宋_GB2312"/>
          <w:b w:val="0"/>
          <w:sz w:val="32"/>
          <w:lang w:val="en-US" w:eastAsia="zh-CN"/>
        </w:rPr>
        <w:t>6</w:t>
      </w:r>
      <w:r>
        <w:rPr>
          <w:rFonts w:ascii="仿宋_GB2312" w:hAnsi="仿宋_GB2312" w:eastAsia="仿宋_GB2312"/>
          <w:b w:val="0"/>
          <w:sz w:val="32"/>
        </w:rPr>
        <w:t>个，全年预算数</w:t>
      </w:r>
      <w:r>
        <w:rPr>
          <w:rFonts w:hint="eastAsia" w:ascii="仿宋_GB2312" w:hAnsi="仿宋_GB2312" w:eastAsia="仿宋_GB2312"/>
          <w:b w:val="0"/>
          <w:sz w:val="32"/>
        </w:rPr>
        <w:t>18</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977.73</w:t>
      </w:r>
      <w:r>
        <w:rPr>
          <w:rFonts w:ascii="仿宋_GB2312" w:hAnsi="仿宋_GB2312" w:eastAsia="仿宋_GB2312"/>
          <w:b w:val="0"/>
          <w:sz w:val="32"/>
        </w:rPr>
        <w:t>万元，全年执行数</w:t>
      </w:r>
      <w:r>
        <w:rPr>
          <w:rFonts w:hint="eastAsia" w:ascii="仿宋_GB2312" w:hAnsi="仿宋_GB2312" w:eastAsia="仿宋_GB2312"/>
          <w:b w:val="0"/>
          <w:sz w:val="32"/>
        </w:rPr>
        <w:t>7</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667.34</w:t>
      </w:r>
      <w:r>
        <w:rPr>
          <w:rFonts w:ascii="仿宋_GB2312" w:hAnsi="仿宋_GB2312" w:eastAsia="仿宋_GB2312"/>
          <w:b w:val="0"/>
          <w:sz w:val="32"/>
        </w:rPr>
        <w:t>万元。预算绩效管理取得的成效：本年度本单位项目绩效自评表不予公开。发现的问题及原因：本年度本单位项目绩效自评表不予公开。下一步改进措施：本年度本单位项目绩效自评表不予公开。</w:t>
      </w:r>
    </w:p>
    <w:p w14:paraId="7FF6DBCA">
      <w:r>
        <w:br w:type="page"/>
      </w:r>
    </w:p>
    <w:p w14:paraId="68763C9A">
      <w:pPr>
        <w:spacing w:line="640" w:lineRule="exact"/>
        <w:ind w:firstLine="640"/>
        <w:jc w:val="both"/>
        <w:outlineLvl w:val="2"/>
      </w:pPr>
      <w:r>
        <w:rPr>
          <w:rFonts w:ascii="黑体" w:hAnsi="黑体" w:eastAsia="黑体"/>
          <w:sz w:val="32"/>
        </w:rPr>
        <w:t>十二、其他需说明的事项</w:t>
      </w:r>
    </w:p>
    <w:p w14:paraId="690029A6">
      <w:pPr>
        <w:spacing w:line="580" w:lineRule="exact"/>
        <w:ind w:firstLine="640"/>
        <w:jc w:val="both"/>
      </w:pPr>
      <w:r>
        <w:rPr>
          <w:rFonts w:ascii="仿宋_GB2312" w:hAnsi="仿宋_GB2312" w:eastAsia="仿宋_GB2312"/>
          <w:b w:val="0"/>
          <w:sz w:val="32"/>
        </w:rPr>
        <w:t>本年度本单位整体绩效自评表不予公开。</w:t>
      </w:r>
    </w:p>
    <w:p w14:paraId="468E272C">
      <w:pPr>
        <w:spacing w:line="580" w:lineRule="exact"/>
        <w:ind w:firstLine="640"/>
        <w:jc w:val="both"/>
      </w:pPr>
      <w:r>
        <w:rPr>
          <w:rFonts w:ascii="仿宋_GB2312" w:hAnsi="仿宋_GB2312" w:eastAsia="仿宋_GB2312"/>
          <w:b w:val="0"/>
          <w:sz w:val="32"/>
        </w:rPr>
        <w:t>本年本单位SM项目</w:t>
      </w:r>
      <w:r>
        <w:rPr>
          <w:rFonts w:hint="eastAsia" w:ascii="仿宋_GB2312" w:hAnsi="仿宋_GB2312" w:eastAsia="仿宋_GB2312"/>
          <w:b w:val="0"/>
          <w:sz w:val="32"/>
          <w:lang w:val="en-US" w:eastAsia="zh-CN"/>
        </w:rPr>
        <w:t>6</w:t>
      </w:r>
      <w:r>
        <w:rPr>
          <w:rFonts w:ascii="仿宋_GB2312" w:hAnsi="仿宋_GB2312" w:eastAsia="仿宋_GB2312"/>
          <w:b w:val="0"/>
          <w:sz w:val="32"/>
        </w:rPr>
        <w:t>个，全年预算数</w:t>
      </w:r>
      <w:r>
        <w:rPr>
          <w:rFonts w:hint="eastAsia" w:ascii="仿宋_GB2312" w:hAnsi="仿宋_GB2312" w:eastAsia="仿宋_GB2312"/>
          <w:b w:val="0"/>
          <w:sz w:val="32"/>
        </w:rPr>
        <w:t>18</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977.73</w:t>
      </w:r>
      <w:r>
        <w:rPr>
          <w:rFonts w:ascii="仿宋_GB2312" w:hAnsi="仿宋_GB2312" w:eastAsia="仿宋_GB2312"/>
          <w:b w:val="0"/>
          <w:sz w:val="32"/>
        </w:rPr>
        <w:t>万元，全年执行数</w:t>
      </w:r>
      <w:r>
        <w:rPr>
          <w:rFonts w:hint="eastAsia" w:ascii="仿宋_GB2312" w:hAnsi="仿宋_GB2312" w:eastAsia="仿宋_GB2312"/>
          <w:b w:val="0"/>
          <w:sz w:val="32"/>
        </w:rPr>
        <w:t>7</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667.34</w:t>
      </w:r>
      <w:r>
        <w:rPr>
          <w:rFonts w:ascii="仿宋_GB2312" w:hAnsi="仿宋_GB2312" w:eastAsia="仿宋_GB2312"/>
          <w:b w:val="0"/>
          <w:sz w:val="32"/>
        </w:rPr>
        <w:t>万元。</w:t>
      </w:r>
    </w:p>
    <w:p w14:paraId="571DD7EA">
      <w:r>
        <w:br w:type="page"/>
      </w:r>
    </w:p>
    <w:p w14:paraId="779074E2">
      <w:pPr>
        <w:spacing w:line="240" w:lineRule="auto"/>
        <w:jc w:val="center"/>
        <w:outlineLvl w:val="1"/>
      </w:pPr>
      <w:r>
        <w:rPr>
          <w:rFonts w:ascii="黑体" w:hAnsi="黑体" w:eastAsia="黑体"/>
          <w:sz w:val="32"/>
        </w:rPr>
        <w:t>第三部分 专业名词解释</w:t>
      </w:r>
    </w:p>
    <w:p w14:paraId="1A2B9D9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A559FA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C5923D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FDE2B5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9A8C72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51DEF3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A0D9A0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C16C1E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6A7230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FDA78D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95CAD2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1E97D8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2045B9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280C9B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28B7EE7">
      <w:r>
        <w:br w:type="page"/>
      </w:r>
    </w:p>
    <w:p w14:paraId="5884841F">
      <w:pPr>
        <w:spacing w:line="240" w:lineRule="auto"/>
        <w:jc w:val="center"/>
        <w:outlineLvl w:val="1"/>
      </w:pPr>
      <w:r>
        <w:rPr>
          <w:rFonts w:ascii="黑体" w:hAnsi="黑体" w:eastAsia="黑体"/>
          <w:sz w:val="32"/>
        </w:rPr>
        <w:t>第四部分 部门决算报表（见附表）</w:t>
      </w:r>
    </w:p>
    <w:p w14:paraId="2134CCE9">
      <w:pPr>
        <w:spacing w:line="240" w:lineRule="auto"/>
        <w:ind w:firstLine="640"/>
        <w:jc w:val="both"/>
      </w:pPr>
      <w:r>
        <w:rPr>
          <w:rFonts w:ascii="仿宋_GB2312" w:hAnsi="仿宋_GB2312" w:eastAsia="仿宋_GB2312"/>
          <w:b w:val="0"/>
          <w:sz w:val="32"/>
        </w:rPr>
        <w:t>一、《收入支出决算总表》</w:t>
      </w:r>
    </w:p>
    <w:p w14:paraId="5BF380B4">
      <w:pPr>
        <w:spacing w:line="240" w:lineRule="auto"/>
        <w:ind w:firstLine="640"/>
        <w:jc w:val="both"/>
      </w:pPr>
      <w:r>
        <w:rPr>
          <w:rFonts w:ascii="仿宋_GB2312" w:hAnsi="仿宋_GB2312" w:eastAsia="仿宋_GB2312"/>
          <w:b w:val="0"/>
          <w:sz w:val="32"/>
        </w:rPr>
        <w:t>二、《收入决算表》</w:t>
      </w:r>
    </w:p>
    <w:p w14:paraId="672F62E9">
      <w:pPr>
        <w:spacing w:line="240" w:lineRule="auto"/>
        <w:ind w:firstLine="640"/>
        <w:jc w:val="both"/>
      </w:pPr>
      <w:r>
        <w:rPr>
          <w:rFonts w:ascii="仿宋_GB2312" w:hAnsi="仿宋_GB2312" w:eastAsia="仿宋_GB2312"/>
          <w:b w:val="0"/>
          <w:sz w:val="32"/>
        </w:rPr>
        <w:t>三、《支出决算表》</w:t>
      </w:r>
    </w:p>
    <w:p w14:paraId="411ECFB2">
      <w:pPr>
        <w:spacing w:line="240" w:lineRule="auto"/>
        <w:ind w:firstLine="640"/>
        <w:jc w:val="both"/>
      </w:pPr>
      <w:r>
        <w:rPr>
          <w:rFonts w:ascii="仿宋_GB2312" w:hAnsi="仿宋_GB2312" w:eastAsia="仿宋_GB2312"/>
          <w:b w:val="0"/>
          <w:sz w:val="32"/>
        </w:rPr>
        <w:t>四、《财政拨款收入支出决算总表》</w:t>
      </w:r>
    </w:p>
    <w:p w14:paraId="3C9F9C82">
      <w:pPr>
        <w:spacing w:line="240" w:lineRule="auto"/>
        <w:ind w:firstLine="640"/>
        <w:jc w:val="both"/>
      </w:pPr>
      <w:r>
        <w:rPr>
          <w:rFonts w:ascii="仿宋_GB2312" w:hAnsi="仿宋_GB2312" w:eastAsia="仿宋_GB2312"/>
          <w:b w:val="0"/>
          <w:sz w:val="32"/>
        </w:rPr>
        <w:t>五、《一般公共预算财政拨款支出决算表》</w:t>
      </w:r>
    </w:p>
    <w:p w14:paraId="21A63A9D">
      <w:pPr>
        <w:spacing w:line="240" w:lineRule="auto"/>
        <w:ind w:firstLine="640"/>
        <w:jc w:val="both"/>
      </w:pPr>
      <w:r>
        <w:rPr>
          <w:rFonts w:ascii="仿宋_GB2312" w:hAnsi="仿宋_GB2312" w:eastAsia="仿宋_GB2312"/>
          <w:b w:val="0"/>
          <w:sz w:val="32"/>
        </w:rPr>
        <w:t>六、《一般公共预算财政拨款基本支出决算表》</w:t>
      </w:r>
    </w:p>
    <w:p w14:paraId="6C1A01FE">
      <w:pPr>
        <w:spacing w:line="240" w:lineRule="auto"/>
        <w:ind w:firstLine="640"/>
        <w:jc w:val="both"/>
      </w:pPr>
      <w:r>
        <w:rPr>
          <w:rFonts w:ascii="仿宋_GB2312" w:hAnsi="仿宋_GB2312" w:eastAsia="仿宋_GB2312"/>
          <w:b w:val="0"/>
          <w:sz w:val="32"/>
        </w:rPr>
        <w:t>七、《政府性基金预算财政拨款收入支出决算表》</w:t>
      </w:r>
    </w:p>
    <w:p w14:paraId="1C430228">
      <w:pPr>
        <w:spacing w:line="240" w:lineRule="auto"/>
        <w:ind w:firstLine="640"/>
        <w:jc w:val="both"/>
      </w:pPr>
      <w:r>
        <w:rPr>
          <w:rFonts w:ascii="仿宋_GB2312" w:hAnsi="仿宋_GB2312" w:eastAsia="仿宋_GB2312"/>
          <w:b w:val="0"/>
          <w:sz w:val="32"/>
        </w:rPr>
        <w:t>八、《国有资本经营预算财政拨款收入支出决算表》</w:t>
      </w:r>
    </w:p>
    <w:p w14:paraId="67F61A8D">
      <w:pPr>
        <w:spacing w:line="240" w:lineRule="auto"/>
        <w:ind w:firstLine="640"/>
        <w:jc w:val="both"/>
      </w:pPr>
      <w:r>
        <w:rPr>
          <w:rFonts w:ascii="仿宋_GB2312" w:hAnsi="仿宋_GB2312" w:eastAsia="仿宋_GB2312"/>
          <w:b w:val="0"/>
          <w:sz w:val="32"/>
        </w:rPr>
        <w:t>九、《财政拨款“三公”经费支出决算表》</w:t>
      </w:r>
    </w:p>
    <w:p w14:paraId="7250E753">
      <w:pPr>
        <w:spacing w:line="240" w:lineRule="auto"/>
        <w:ind w:firstLine="640"/>
        <w:jc w:val="both"/>
      </w:pPr>
    </w:p>
    <w:p w14:paraId="733600AC">
      <w:pPr>
        <w:spacing w:line="240" w:lineRule="auto"/>
        <w:ind w:firstLine="640"/>
        <w:jc w:val="both"/>
      </w:pPr>
    </w:p>
    <w:p w14:paraId="34A82537">
      <w:pPr>
        <w:spacing w:line="240" w:lineRule="auto"/>
        <w:ind w:firstLine="640"/>
        <w:jc w:val="both"/>
      </w:pPr>
    </w:p>
    <w:p w14:paraId="5536531A">
      <w:pPr>
        <w:spacing w:line="240" w:lineRule="auto"/>
        <w:ind w:firstLine="640"/>
        <w:jc w:val="both"/>
      </w:pPr>
    </w:p>
    <w:p w14:paraId="23DB394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4393B83-F984-414B-8905-CDFAFF897EF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72FB6084-3861-4577-905D-97139B036E57}"/>
  </w:font>
  <w:font w:name="楷体_GB2312">
    <w:panose1 w:val="02010609030101010101"/>
    <w:charset w:val="86"/>
    <w:family w:val="auto"/>
    <w:pitch w:val="default"/>
    <w:sig w:usb0="00000001" w:usb1="080E0000" w:usb2="00000000" w:usb3="00000000" w:csb0="00040000" w:csb1="00000000"/>
    <w:embedRegular r:id="rId3" w:fontKey="{09C59059-C9AF-4544-BDC9-0900339C3FFE}"/>
  </w:font>
  <w:font w:name="方正小标宋_GBK">
    <w:panose1 w:val="02000000000000000000"/>
    <w:charset w:val="86"/>
    <w:family w:val="script"/>
    <w:pitch w:val="default"/>
    <w:sig w:usb0="A00002BF" w:usb1="38CF7CFA" w:usb2="00082016" w:usb3="00000000" w:csb0="00040001" w:csb1="00000000"/>
    <w:embedRegular r:id="rId4" w:fontKey="{AECC875F-A4FD-4DAE-8BCF-88E0DC94954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304E04"/>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050333"/>
    <w:rsid w:val="1F587A0B"/>
    <w:rsid w:val="2064678E"/>
    <w:rsid w:val="20BC0B75"/>
    <w:rsid w:val="20DD6197"/>
    <w:rsid w:val="20E46060"/>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5803</Words>
  <Characters>6803</Characters>
  <Lines>0</Lines>
  <Paragraphs>0</Paragraphs>
  <TotalTime>12</TotalTime>
  <ScaleCrop>false</ScaleCrop>
  <LinksUpToDate>false</LinksUpToDate>
  <CharactersWithSpaces>6813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2025-09-15T08:24:57Z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eyJoZGlkIjoiNTBiYjFiYzY0OWM2ODlhYjA1NDAwODJkOGMwZGNkYTMiLCJ1c2VySWQiOiIyNTk4NTcxMjUifQ==</vt:lpwstr>
  </property>
</Properties>
</file>