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阿克陶县梧桐中学2024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C547C19">
      <w:r>
        <w:br w:type="page"/>
      </w:r>
    </w:p>
    <w:p w14:paraId="51AEC538">
      <w:pPr>
        <w:spacing w:line="640" w:lineRule="exact"/>
        <w:jc w:val="center"/>
        <w:outlineLvl w:val="1"/>
      </w:pPr>
      <w:r>
        <w:rPr>
          <w:rFonts w:ascii="黑体" w:hAnsi="黑体" w:eastAsia="黑体"/>
          <w:sz w:val="32"/>
        </w:rPr>
        <w:t>第一部分 单位概况</w:t>
      </w:r>
    </w:p>
    <w:p w14:paraId="0B2F1C20">
      <w:pPr>
        <w:spacing w:line="640" w:lineRule="exact"/>
        <w:ind w:firstLine="640"/>
        <w:jc w:val="both"/>
        <w:outlineLvl w:val="2"/>
      </w:pPr>
      <w:r>
        <w:rPr>
          <w:rFonts w:ascii="黑体" w:hAnsi="黑体" w:eastAsia="黑体"/>
          <w:sz w:val="32"/>
        </w:rPr>
        <w:t>一、主要职能</w:t>
      </w:r>
    </w:p>
    <w:p w14:paraId="3B444587">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宣传贯彻执行党和国家的教育方针教育政策教育法律和法规，贯彻执行上级教育行政部门的各项规章制度，教育目标和计划能够体现全面发展的培养目标，认真贯彻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中学的教育教学管理，全面推进素质教育，全面提高教育教学质量，多方位地开展教学，全面实施中学生教育，在注重教学的同时紧抓德育教育。</w:t>
      </w:r>
    </w:p>
    <w:p w14:paraId="5BED1D26">
      <w:pPr>
        <w:spacing w:line="640" w:lineRule="exact"/>
        <w:ind w:firstLine="640"/>
        <w:jc w:val="both"/>
        <w:outlineLvl w:val="2"/>
      </w:pPr>
      <w:r>
        <w:rPr>
          <w:rFonts w:ascii="黑体" w:hAnsi="黑体" w:eastAsia="黑体"/>
          <w:sz w:val="32"/>
        </w:rPr>
        <w:t>二、机构设置及人员情况</w:t>
      </w:r>
    </w:p>
    <w:p w14:paraId="5CD8A660">
      <w:pPr>
        <w:spacing w:line="580" w:lineRule="exact"/>
        <w:ind w:firstLine="640"/>
        <w:jc w:val="both"/>
      </w:pPr>
      <w:r>
        <w:rPr>
          <w:rFonts w:ascii="仿宋_GB2312" w:hAnsi="仿宋_GB2312" w:eastAsia="仿宋_GB2312"/>
          <w:sz w:val="32"/>
        </w:rPr>
        <w:t>阿克陶县梧桐中学2024年度，实有人数191人，其中：在职人员182人，减少2人；离休人员0人，增加0人；退休人员9人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18EDA3F4">
      <w:pPr>
        <w:spacing w:line="580" w:lineRule="exact"/>
        <w:ind w:firstLine="640"/>
        <w:jc w:val="both"/>
      </w:pPr>
      <w:r>
        <w:rPr>
          <w:rFonts w:ascii="仿宋_GB2312" w:hAnsi="仿宋_GB2312" w:eastAsia="仿宋_GB2312"/>
          <w:sz w:val="32"/>
        </w:rPr>
        <w:t>阿克陶县梧桐中学无下属预算单位，下设5个科室，分别是：教务科、教研室、后勤科、校办、财务室。</w:t>
      </w:r>
    </w:p>
    <w:p w14:paraId="2BF0DDE3">
      <w:r>
        <w:br w:type="page"/>
      </w:r>
    </w:p>
    <w:p w14:paraId="653D233C">
      <w:pPr>
        <w:spacing w:line="240" w:lineRule="auto"/>
        <w:jc w:val="center"/>
        <w:outlineLvl w:val="1"/>
      </w:pPr>
      <w:r>
        <w:rPr>
          <w:rFonts w:ascii="黑体" w:hAnsi="黑体" w:eastAsia="黑体"/>
          <w:sz w:val="32"/>
        </w:rPr>
        <w:t>第二部分 部门决算情况说明</w:t>
      </w:r>
    </w:p>
    <w:p w14:paraId="37F713D9">
      <w:pPr>
        <w:spacing w:line="640" w:lineRule="exact"/>
        <w:ind w:firstLine="640"/>
        <w:jc w:val="both"/>
        <w:outlineLvl w:val="2"/>
      </w:pPr>
      <w:r>
        <w:rPr>
          <w:rFonts w:ascii="黑体" w:hAnsi="黑体" w:eastAsia="黑体"/>
          <w:sz w:val="32"/>
        </w:rPr>
        <w:t>一、收入支出决算总体情况说明</w:t>
      </w:r>
    </w:p>
    <w:p w14:paraId="7F10A27C">
      <w:pPr>
        <w:spacing w:line="580" w:lineRule="exact"/>
        <w:ind w:firstLine="640"/>
        <w:jc w:val="both"/>
      </w:pPr>
      <w:r>
        <w:rPr>
          <w:rFonts w:ascii="仿宋_GB2312" w:hAnsi="仿宋_GB2312" w:eastAsia="仿宋_GB2312"/>
          <w:b/>
          <w:sz w:val="32"/>
        </w:rPr>
        <w:t>2024年度收入总计4,558.31万元，</w:t>
      </w:r>
      <w:r>
        <w:rPr>
          <w:rFonts w:ascii="仿宋_GB2312" w:hAnsi="仿宋_GB2312" w:eastAsia="仿宋_GB2312"/>
          <w:b w:val="0"/>
          <w:sz w:val="32"/>
        </w:rPr>
        <w:t>其中：本年收入合计4,550.88万元，使用非财政拨款结余（含专用结余）0.00万元，年初结转和结余7.42万元。</w:t>
      </w:r>
    </w:p>
    <w:p w14:paraId="7073EAE8">
      <w:pPr>
        <w:spacing w:line="580" w:lineRule="exact"/>
        <w:ind w:firstLine="640"/>
        <w:jc w:val="both"/>
      </w:pPr>
      <w:r>
        <w:rPr>
          <w:rFonts w:ascii="仿宋_GB2312" w:hAnsi="仿宋_GB2312" w:eastAsia="仿宋_GB2312"/>
          <w:b/>
          <w:sz w:val="32"/>
        </w:rPr>
        <w:t>2024年度支出总计4,558.31万元，</w:t>
      </w:r>
      <w:r>
        <w:rPr>
          <w:rFonts w:ascii="仿宋_GB2312" w:hAnsi="仿宋_GB2312" w:eastAsia="仿宋_GB2312"/>
          <w:b w:val="0"/>
          <w:sz w:val="32"/>
        </w:rPr>
        <w:t>其中：本年支出合计4,456.94万元，结余分配0.00万元，年末结转和结余101.37万元。</w:t>
      </w:r>
    </w:p>
    <w:p w14:paraId="75395CD0">
      <w:pPr>
        <w:spacing w:line="580" w:lineRule="exact"/>
        <w:ind w:firstLine="640"/>
        <w:jc w:val="both"/>
      </w:pPr>
      <w:r>
        <w:rPr>
          <w:rFonts w:ascii="仿宋_GB2312" w:hAnsi="仿宋_GB2312" w:eastAsia="仿宋_GB2312"/>
          <w:b w:val="0"/>
          <w:sz w:val="32"/>
        </w:rPr>
        <w:t>收入支出总体与上年相比，增加405.69万元，增长9.77%，主要原因是：本年补发人员基本工资，在职人员工资调增，社保、公积金基数调增，人员经费增加；本年取暖费较上年增加；本年阿克陶县兴国红特殊教育学校经费在本单位列支。本年增加捐赠收入。</w:t>
      </w:r>
    </w:p>
    <w:p w14:paraId="44337EF8">
      <w:pPr>
        <w:spacing w:line="640" w:lineRule="exact"/>
        <w:ind w:firstLine="640"/>
        <w:jc w:val="both"/>
        <w:outlineLvl w:val="2"/>
      </w:pPr>
      <w:r>
        <w:rPr>
          <w:rFonts w:ascii="黑体" w:hAnsi="黑体" w:eastAsia="黑体"/>
          <w:sz w:val="32"/>
        </w:rPr>
        <w:t>二、收入决算情况说明</w:t>
      </w:r>
    </w:p>
    <w:p w14:paraId="1B7DD6D6">
      <w:pPr>
        <w:spacing w:line="580" w:lineRule="exact"/>
        <w:ind w:firstLine="640"/>
        <w:jc w:val="both"/>
      </w:pPr>
      <w:r>
        <w:rPr>
          <w:rFonts w:ascii="仿宋_GB2312" w:hAnsi="仿宋_GB2312" w:eastAsia="仿宋_GB2312"/>
          <w:b/>
          <w:sz w:val="32"/>
        </w:rPr>
        <w:t>本年收入4,550.88万元，</w:t>
      </w:r>
      <w:r>
        <w:rPr>
          <w:rFonts w:ascii="仿宋_GB2312" w:hAnsi="仿宋_GB2312" w:eastAsia="仿宋_GB2312"/>
          <w:b w:val="0"/>
          <w:sz w:val="32"/>
        </w:rPr>
        <w:t>其中：财政拨款收入4,450.59万元，占97.80%；上级补助收入0.00万元，占0.00%；事业收入0.00万元，占0.00%；经营收入0.00万元，占0.00%；附属单位上缴收入0.00万元，占0.00%；其他收入100.29万元，占2.20%。</w:t>
      </w:r>
    </w:p>
    <w:p w14:paraId="3374F5AF">
      <w:pPr>
        <w:spacing w:line="640" w:lineRule="exact"/>
        <w:ind w:firstLine="640"/>
        <w:jc w:val="both"/>
        <w:outlineLvl w:val="2"/>
      </w:pPr>
      <w:r>
        <w:rPr>
          <w:rFonts w:ascii="黑体" w:hAnsi="黑体" w:eastAsia="黑体"/>
          <w:sz w:val="32"/>
        </w:rPr>
        <w:t>三、支出决算情况说明</w:t>
      </w:r>
    </w:p>
    <w:p w14:paraId="04DF3A54">
      <w:pPr>
        <w:spacing w:line="580" w:lineRule="exact"/>
        <w:ind w:firstLine="640"/>
        <w:jc w:val="both"/>
      </w:pPr>
      <w:r>
        <w:rPr>
          <w:rFonts w:ascii="仿宋_GB2312" w:hAnsi="仿宋_GB2312" w:eastAsia="仿宋_GB2312"/>
          <w:b/>
          <w:sz w:val="32"/>
        </w:rPr>
        <w:t>本年支出4,456.94万元，</w:t>
      </w:r>
      <w:r>
        <w:rPr>
          <w:rFonts w:ascii="仿宋_GB2312" w:hAnsi="仿宋_GB2312" w:eastAsia="仿宋_GB2312"/>
          <w:b w:val="0"/>
          <w:sz w:val="32"/>
        </w:rPr>
        <w:t>其中：基本支出4,306.15万元，占96.62%；项目支出150.79万元，占3.38%；上缴上级支出0.00万元，占0.00%；经营支出0.00万元，占0.00%；对附属单位补助支出0.00万元，占0.00%。</w:t>
      </w:r>
    </w:p>
    <w:p w14:paraId="03B6E399">
      <w:pPr>
        <w:spacing w:line="640" w:lineRule="exact"/>
        <w:ind w:firstLine="640"/>
        <w:jc w:val="both"/>
        <w:outlineLvl w:val="2"/>
      </w:pPr>
      <w:r>
        <w:rPr>
          <w:rFonts w:ascii="黑体" w:hAnsi="黑体" w:eastAsia="黑体"/>
          <w:sz w:val="32"/>
        </w:rPr>
        <w:t>四、财政拨款收入支出决算总体情况说明</w:t>
      </w:r>
    </w:p>
    <w:p w14:paraId="3742D7DA">
      <w:pPr>
        <w:spacing w:line="580" w:lineRule="exact"/>
        <w:ind w:firstLine="640"/>
        <w:jc w:val="both"/>
      </w:pPr>
      <w:r>
        <w:rPr>
          <w:rFonts w:ascii="仿宋_GB2312" w:hAnsi="仿宋_GB2312" w:eastAsia="仿宋_GB2312"/>
          <w:b/>
          <w:sz w:val="32"/>
        </w:rPr>
        <w:t>2024年度财政拨款收入总计4,451.56万元，</w:t>
      </w:r>
      <w:r>
        <w:rPr>
          <w:rFonts w:ascii="仿宋_GB2312" w:hAnsi="仿宋_GB2312" w:eastAsia="仿宋_GB2312"/>
          <w:b w:val="0"/>
          <w:sz w:val="32"/>
        </w:rPr>
        <w:t>其中：年初财政拨款结转和结余0.97万元，本年财政拨款收入4,450.59万元。</w:t>
      </w:r>
      <w:r>
        <w:rPr>
          <w:rFonts w:ascii="仿宋_GB2312" w:hAnsi="仿宋_GB2312" w:eastAsia="仿宋_GB2312"/>
          <w:b/>
          <w:sz w:val="32"/>
        </w:rPr>
        <w:t>财政拨款支出总计4,451.56万元，</w:t>
      </w:r>
      <w:r>
        <w:rPr>
          <w:rFonts w:ascii="仿宋_GB2312" w:hAnsi="仿宋_GB2312" w:eastAsia="仿宋_GB2312"/>
          <w:b w:val="0"/>
          <w:sz w:val="32"/>
        </w:rPr>
        <w:t>其中：年末财政拨款结转和结余0.00万元，本年财政拨款支出4,451.56万元。</w:t>
      </w:r>
    </w:p>
    <w:p w14:paraId="0A7EE64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增加321.32万元，增长7.78%，主要原因是：本年补发人员基本工资，在职人员工资调增，社保、公积金基数调增，人员经费增加；本年取暖费较上年增加；本年阿克陶县兴国红特殊教育学校经费在本单位列支。</w:t>
      </w:r>
      <w:r>
        <w:rPr>
          <w:rFonts w:ascii="仿宋_GB2312" w:hAnsi="仿宋_GB2312" w:eastAsia="仿宋_GB2312"/>
          <w:b/>
          <w:sz w:val="32"/>
        </w:rPr>
        <w:t>与年初预算相比，</w:t>
      </w:r>
      <w:r>
        <w:rPr>
          <w:rFonts w:ascii="仿宋_GB2312" w:hAnsi="仿宋_GB2312" w:eastAsia="仿宋_GB2312"/>
          <w:b w:val="0"/>
          <w:sz w:val="32"/>
        </w:rPr>
        <w:t>年初预算数3,885.90万元，决算数4,451.56万元，预决算差异率14.56%，主要原因是：年中追加取暖费、人员工资、社保、公积金基数调增部分资金，追加阿克陶县兴国红特殊教育学校经费项目</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4EC422AC">
      <w:pPr>
        <w:spacing w:line="640" w:lineRule="exact"/>
        <w:ind w:firstLine="640"/>
        <w:jc w:val="both"/>
        <w:outlineLvl w:val="2"/>
      </w:pPr>
      <w:r>
        <w:rPr>
          <w:rFonts w:ascii="黑体" w:hAnsi="黑体" w:eastAsia="黑体"/>
          <w:sz w:val="32"/>
        </w:rPr>
        <w:t>五、一般公共预算财政拨款支出决算情况说明</w:t>
      </w:r>
    </w:p>
    <w:p w14:paraId="08953268">
      <w:pPr>
        <w:spacing w:line="640" w:lineRule="exact"/>
        <w:ind w:firstLine="640"/>
        <w:jc w:val="both"/>
        <w:outlineLvl w:val="3"/>
      </w:pPr>
      <w:r>
        <w:rPr>
          <w:rFonts w:ascii="楷体_GB2312" w:hAnsi="楷体_GB2312" w:eastAsia="楷体_GB2312"/>
          <w:b/>
          <w:sz w:val="32"/>
        </w:rPr>
        <w:t>（一）一般公共预算财政拨款支出决算总体情况</w:t>
      </w:r>
    </w:p>
    <w:p w14:paraId="227286E0">
      <w:pPr>
        <w:spacing w:line="580" w:lineRule="exact"/>
        <w:ind w:firstLine="640"/>
        <w:jc w:val="both"/>
        <w:rPr>
          <w:rFonts w:hint="eastAsia" w:eastAsia="仿宋_GB2312"/>
          <w:lang w:eastAsia="zh-CN"/>
        </w:rPr>
      </w:pPr>
      <w:r>
        <w:rPr>
          <w:rFonts w:ascii="仿宋_GB2312" w:hAnsi="仿宋_GB2312" w:eastAsia="仿宋_GB2312"/>
          <w:b/>
          <w:sz w:val="32"/>
        </w:rPr>
        <w:t>2024年度一般公共预算财政拨款支出4,451.56万元，</w:t>
      </w:r>
      <w:r>
        <w:rPr>
          <w:rFonts w:ascii="仿宋_GB2312" w:hAnsi="仿宋_GB2312" w:eastAsia="仿宋_GB2312"/>
          <w:b w:val="0"/>
          <w:sz w:val="32"/>
        </w:rPr>
        <w:t>占本年支出合计的99.88%。</w:t>
      </w:r>
      <w:r>
        <w:rPr>
          <w:rFonts w:ascii="仿宋_GB2312" w:hAnsi="仿宋_GB2312" w:eastAsia="仿宋_GB2312"/>
          <w:b/>
          <w:sz w:val="32"/>
        </w:rPr>
        <w:t>与上年相比，</w:t>
      </w:r>
      <w:r>
        <w:rPr>
          <w:rFonts w:ascii="仿宋_GB2312" w:hAnsi="仿宋_GB2312" w:eastAsia="仿宋_GB2312"/>
          <w:b w:val="0"/>
          <w:sz w:val="32"/>
        </w:rPr>
        <w:t>增加322.28万元，增长7.80%，主要原因是：本年补发人员基本工资，在职人员工资调增，社保、公积金基数调增，人员经费增加；本年取暖费较上年增加；本年阿克陶县兴国红特殊教育学校经费在本单位列支。</w:t>
      </w:r>
      <w:r>
        <w:rPr>
          <w:rFonts w:ascii="仿宋_GB2312" w:hAnsi="仿宋_GB2312" w:eastAsia="仿宋_GB2312"/>
          <w:b/>
          <w:sz w:val="32"/>
        </w:rPr>
        <w:t>与年初预算相比,</w:t>
      </w:r>
      <w:r>
        <w:rPr>
          <w:rFonts w:ascii="仿宋_GB2312" w:hAnsi="仿宋_GB2312" w:eastAsia="仿宋_GB2312"/>
          <w:b w:val="0"/>
          <w:sz w:val="32"/>
        </w:rPr>
        <w:t>年初预算数3,885.90万元，决算数4,451.56万元，预决算差异率14.56%，主要原因是：年中追加取暖费、人员工资、社保、公积金基数调增部分资金，追加阿克陶县兴国红特殊教育学校经费项目</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1E60BF80">
      <w:pPr>
        <w:spacing w:line="640" w:lineRule="exact"/>
        <w:ind w:firstLine="640"/>
        <w:jc w:val="both"/>
        <w:outlineLvl w:val="3"/>
      </w:pPr>
      <w:r>
        <w:rPr>
          <w:rFonts w:ascii="楷体_GB2312" w:hAnsi="楷体_GB2312" w:eastAsia="楷体_GB2312"/>
          <w:b/>
          <w:sz w:val="32"/>
        </w:rPr>
        <w:t>（二）一般公共预算财政拨款支出决算结构情况</w:t>
      </w:r>
    </w:p>
    <w:p w14:paraId="42646DD6">
      <w:pPr>
        <w:spacing w:line="580" w:lineRule="exact"/>
        <w:ind w:firstLine="640"/>
        <w:jc w:val="both"/>
      </w:pPr>
      <w:r>
        <w:rPr>
          <w:rFonts w:ascii="仿宋_GB2312" w:hAnsi="仿宋_GB2312" w:eastAsia="仿宋_GB2312"/>
          <w:b w:val="0"/>
          <w:sz w:val="32"/>
        </w:rPr>
        <w:t>1.教育支出(类)4,451.56万元,占100.00%。</w:t>
      </w:r>
    </w:p>
    <w:p w14:paraId="63CB8B64">
      <w:pPr>
        <w:spacing w:line="640" w:lineRule="exact"/>
        <w:ind w:firstLine="640"/>
        <w:jc w:val="both"/>
        <w:outlineLvl w:val="3"/>
      </w:pPr>
      <w:r>
        <w:rPr>
          <w:rFonts w:ascii="楷体_GB2312" w:hAnsi="楷体_GB2312" w:eastAsia="楷体_GB2312"/>
          <w:b/>
          <w:sz w:val="32"/>
        </w:rPr>
        <w:t>（三）一般公共预算财政拨款支出决算具体情况</w:t>
      </w:r>
    </w:p>
    <w:p w14:paraId="6E326FC9">
      <w:pPr>
        <w:spacing w:line="580" w:lineRule="exact"/>
        <w:ind w:firstLine="640"/>
        <w:jc w:val="both"/>
      </w:pPr>
      <w:r>
        <w:rPr>
          <w:rFonts w:ascii="仿宋_GB2312" w:hAnsi="仿宋_GB2312" w:eastAsia="仿宋_GB2312"/>
          <w:b w:val="0"/>
          <w:sz w:val="32"/>
        </w:rPr>
        <w:t>1.教育支出(类)普通教育(款)初中教育(项):支出决算数为4,451.56万元，比上年决算增加679.11万元，增长18.00%,主要原因是：一是本年补发人员基本工资，在职人员工资调增，社保、公积金基数调增，人员经费增加；二是本年取暖费较上年增加；三是本年阿克陶县兴国红特殊教育学校经费在本单位列支。四是本年功能科目调整，养老保险缴费上年度单独列支，本年调整至主科目列支，导致经费较上年增加。</w:t>
      </w:r>
    </w:p>
    <w:p w14:paraId="38AE2C1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356.83万元，下降100.00%,主要原因是：本年功能科目调整，养老保险缴费上年度单独列支，本年调整至主科目列支，导致经费较上年减少。</w:t>
      </w:r>
    </w:p>
    <w:p w14:paraId="2BA89260">
      <w:pPr>
        <w:spacing w:line="640" w:lineRule="exact"/>
        <w:ind w:firstLine="640"/>
        <w:jc w:val="both"/>
        <w:outlineLvl w:val="2"/>
      </w:pPr>
      <w:r>
        <w:rPr>
          <w:rFonts w:ascii="黑体" w:hAnsi="黑体" w:eastAsia="黑体"/>
          <w:sz w:val="32"/>
        </w:rPr>
        <w:t>六、一般公共预算财政拨款基本支出决算情况说明</w:t>
      </w:r>
    </w:p>
    <w:p w14:paraId="0CEBBA6E">
      <w:pPr>
        <w:spacing w:line="580" w:lineRule="exact"/>
        <w:ind w:firstLine="640"/>
        <w:jc w:val="both"/>
      </w:pPr>
      <w:r>
        <w:rPr>
          <w:rFonts w:ascii="仿宋_GB2312" w:hAnsi="仿宋_GB2312" w:eastAsia="仿宋_GB2312"/>
          <w:b w:val="0"/>
          <w:sz w:val="32"/>
        </w:rPr>
        <w:t>2024年度一般公共预算财政拨款基本支出4,306.15万元，其中：</w:t>
      </w:r>
      <w:r>
        <w:rPr>
          <w:rFonts w:ascii="仿宋_GB2312" w:hAnsi="仿宋_GB2312" w:eastAsia="仿宋_GB2312"/>
          <w:b/>
          <w:sz w:val="32"/>
        </w:rPr>
        <w:t>人员经费3,847.10万元，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包括：基本工资、津贴补贴、奖金、机关事业单位基本养老保险缴费、职工基本医疗保险缴费、其他社会保障缴费、住房公积金、退休费、生活补助、奖励金、其他对个人和家庭的补助。</w:t>
      </w:r>
    </w:p>
    <w:p w14:paraId="14D796F3">
      <w:pPr>
        <w:spacing w:line="580" w:lineRule="exact"/>
        <w:ind w:firstLine="640"/>
        <w:jc w:val="both"/>
      </w:pPr>
      <w:r>
        <w:rPr>
          <w:rFonts w:ascii="仿宋_GB2312" w:hAnsi="仿宋_GB2312" w:eastAsia="仿宋_GB2312"/>
          <w:b/>
          <w:sz w:val="32"/>
        </w:rPr>
        <w:t>公用经费459.05万元，</w:t>
      </w:r>
      <w:r>
        <w:rPr>
          <w:rFonts w:ascii="仿宋_GB2312" w:hAnsi="仿宋_GB2312" w:eastAsia="仿宋_GB2312"/>
          <w:b w:val="0"/>
          <w:sz w:val="32"/>
        </w:rPr>
        <w:t>包括：办公费、印刷费、水费、电费、邮电费、取暖费、物业管理费、维修（护）费、培训费、其他交通费用、其他商品和服务支出、办公设备购置、专用设备购置。</w:t>
      </w:r>
    </w:p>
    <w:p w14:paraId="38C08480">
      <w:pPr>
        <w:spacing w:line="640" w:lineRule="exact"/>
        <w:ind w:firstLine="640"/>
        <w:jc w:val="both"/>
        <w:outlineLvl w:val="2"/>
      </w:pPr>
      <w:r>
        <w:rPr>
          <w:rFonts w:ascii="黑体" w:hAnsi="黑体" w:eastAsia="黑体"/>
          <w:sz w:val="32"/>
        </w:rPr>
        <w:t>七、政府性基金预算财政拨款收入支出决算情况说明</w:t>
      </w:r>
    </w:p>
    <w:p w14:paraId="707A86C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1A0960B">
      <w:pPr>
        <w:spacing w:line="640" w:lineRule="exact"/>
        <w:ind w:firstLine="640"/>
        <w:jc w:val="both"/>
        <w:outlineLvl w:val="2"/>
      </w:pPr>
      <w:r>
        <w:rPr>
          <w:rFonts w:ascii="黑体" w:hAnsi="黑体" w:eastAsia="黑体"/>
          <w:sz w:val="32"/>
        </w:rPr>
        <w:t>八、国有资本经营预算财政拨款收入支出决算情况说明</w:t>
      </w:r>
    </w:p>
    <w:p w14:paraId="69854B2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ECCD2BD">
      <w:pPr>
        <w:spacing w:line="640" w:lineRule="exact"/>
        <w:ind w:firstLine="640"/>
        <w:jc w:val="both"/>
        <w:outlineLvl w:val="2"/>
      </w:pPr>
      <w:r>
        <w:rPr>
          <w:rFonts w:ascii="黑体" w:hAnsi="黑体" w:eastAsia="黑体"/>
          <w:sz w:val="32"/>
        </w:rPr>
        <w:t>九、财政拨款“三公”经费支出决算情况说明</w:t>
      </w:r>
    </w:p>
    <w:p w14:paraId="14F5AD8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CABA247">
      <w:pPr>
        <w:spacing w:line="580" w:lineRule="exact"/>
        <w:ind w:firstLine="640"/>
        <w:jc w:val="both"/>
      </w:pPr>
      <w:r>
        <w:rPr>
          <w:rFonts w:ascii="仿宋_GB2312" w:hAnsi="仿宋_GB2312" w:eastAsia="仿宋_GB2312"/>
          <w:b/>
          <w:sz w:val="32"/>
        </w:rPr>
        <w:t>具体情况如下：</w:t>
      </w:r>
    </w:p>
    <w:p w14:paraId="246C751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56B2E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车辆为校车，预算未安排公务用车运行维护费。</w:t>
      </w:r>
    </w:p>
    <w:p w14:paraId="0B37B4F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28364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78D1408">
      <w:pPr>
        <w:spacing w:line="640" w:lineRule="exact"/>
        <w:ind w:firstLine="640"/>
        <w:jc w:val="both"/>
        <w:outlineLvl w:val="2"/>
      </w:pPr>
      <w:r>
        <w:rPr>
          <w:rFonts w:ascii="黑体" w:hAnsi="黑体" w:eastAsia="黑体"/>
          <w:sz w:val="32"/>
        </w:rPr>
        <w:t>十、其他重要事项的情况说明</w:t>
      </w:r>
    </w:p>
    <w:p w14:paraId="481CA979">
      <w:pPr>
        <w:spacing w:line="640" w:lineRule="exact"/>
        <w:ind w:firstLine="640"/>
        <w:jc w:val="both"/>
        <w:outlineLvl w:val="3"/>
      </w:pPr>
      <w:r>
        <w:rPr>
          <w:rFonts w:ascii="楷体_GB2312" w:hAnsi="楷体_GB2312" w:eastAsia="楷体_GB2312"/>
          <w:b/>
          <w:sz w:val="32"/>
        </w:rPr>
        <w:t>（一）机关运行经费及公用经费支出情况</w:t>
      </w:r>
    </w:p>
    <w:p w14:paraId="2B3FE0D1">
      <w:pPr>
        <w:spacing w:line="580" w:lineRule="exact"/>
        <w:ind w:firstLine="640"/>
        <w:jc w:val="both"/>
      </w:pPr>
      <w:r>
        <w:rPr>
          <w:rFonts w:ascii="仿宋_GB2312" w:hAnsi="仿宋_GB2312" w:eastAsia="仿宋_GB2312"/>
          <w:b w:val="0"/>
          <w:sz w:val="32"/>
        </w:rPr>
        <w:t>2024年度阿克陶县梧桐中学（事业单位）公用经费支出459.05万元，比上年增加459.05万元，增长100.00%，主要原因是：本年取暖费增加，阿克陶县兴国红特殊教育学校经费在本单位列支，导致公用经费增加。</w:t>
      </w:r>
    </w:p>
    <w:p w14:paraId="4C64866C">
      <w:pPr>
        <w:spacing w:line="640" w:lineRule="exact"/>
        <w:ind w:firstLine="640"/>
        <w:jc w:val="both"/>
        <w:outlineLvl w:val="3"/>
      </w:pPr>
      <w:r>
        <w:rPr>
          <w:rFonts w:ascii="楷体_GB2312" w:hAnsi="楷体_GB2312" w:eastAsia="楷体_GB2312"/>
          <w:b/>
          <w:sz w:val="32"/>
        </w:rPr>
        <w:t>（二）政府采购情况</w:t>
      </w:r>
    </w:p>
    <w:p w14:paraId="44A80BEE">
      <w:pPr>
        <w:spacing w:line="580" w:lineRule="exact"/>
        <w:ind w:firstLine="640"/>
        <w:jc w:val="both"/>
      </w:pPr>
      <w:r>
        <w:rPr>
          <w:rFonts w:ascii="仿宋_GB2312" w:hAnsi="仿宋_GB2312" w:eastAsia="仿宋_GB2312"/>
          <w:b w:val="0"/>
          <w:sz w:val="32"/>
        </w:rPr>
        <w:t>2024年度政府采购支出总额31.06万元，其中：政府采购货物支出16.08万元、政府采购工程支出5.73万元、政府采购服务支出9.24万元。</w:t>
      </w:r>
    </w:p>
    <w:p w14:paraId="3C43AB46">
      <w:pPr>
        <w:spacing w:line="580" w:lineRule="exact"/>
        <w:ind w:firstLine="640"/>
        <w:jc w:val="both"/>
      </w:pPr>
      <w:r>
        <w:rPr>
          <w:rFonts w:ascii="仿宋_GB2312" w:hAnsi="仿宋_GB2312" w:eastAsia="仿宋_GB2312"/>
          <w:b w:val="0"/>
          <w:sz w:val="32"/>
        </w:rPr>
        <w:t>授予中小企业合同金额21.49万元，占政府采购支出总额的69.19%，其中：授予小微企业合同金额21.34万元，占政府采购支出总额的68.71%。</w:t>
      </w:r>
    </w:p>
    <w:p w14:paraId="2EDEED8D">
      <w:pPr>
        <w:spacing w:line="640" w:lineRule="exact"/>
        <w:ind w:firstLine="640"/>
        <w:jc w:val="both"/>
        <w:outlineLvl w:val="3"/>
      </w:pPr>
      <w:r>
        <w:rPr>
          <w:rFonts w:ascii="楷体_GB2312" w:hAnsi="楷体_GB2312" w:eastAsia="楷体_GB2312"/>
          <w:b/>
          <w:sz w:val="32"/>
        </w:rPr>
        <w:t>（三）国有资产占用情况说明</w:t>
      </w:r>
    </w:p>
    <w:p w14:paraId="4899728E">
      <w:pPr>
        <w:spacing w:line="580" w:lineRule="exact"/>
        <w:ind w:firstLine="640"/>
        <w:jc w:val="both"/>
      </w:pPr>
      <w:r>
        <w:rPr>
          <w:rFonts w:ascii="仿宋_GB2312" w:hAnsi="仿宋_GB2312" w:eastAsia="仿宋_GB2312"/>
          <w:b w:val="0"/>
          <w:sz w:val="32"/>
        </w:rPr>
        <w:t>截至2024年12月31日，房屋33,345.41平方米，价值5,471.88万元。车辆4辆，价值158.91万元，其中：副部（省）级及以上领导用车0辆、主要负责人用车0辆、机要通信用车0辆、应急保障用车0辆、执法执勤用车0辆、特种专业技术用车0辆、离退休干部服务用车0辆、其他用车4辆，其他用车主要是：4辆车均为校车。单价100万元（含）以上设备（不含车辆）0台（套）。</w:t>
      </w:r>
    </w:p>
    <w:p w14:paraId="6185D0D5">
      <w:pPr>
        <w:spacing w:line="640" w:lineRule="exact"/>
        <w:ind w:firstLine="640"/>
        <w:jc w:val="both"/>
        <w:outlineLvl w:val="2"/>
      </w:pPr>
      <w:r>
        <w:rPr>
          <w:rFonts w:ascii="黑体" w:hAnsi="黑体" w:eastAsia="黑体"/>
          <w:sz w:val="32"/>
        </w:rPr>
        <w:t>十一、预算绩效的情况说明</w:t>
      </w:r>
    </w:p>
    <w:p w14:paraId="1D9E41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4,558.31万元，实际执行总额4,456.94万元；预算绩效评价项目0个，全年预算数0.00万元，全年执行数0.00万元。预算绩效管理取得的成效：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无预算绩效项目。发现的问题及原因：2024年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无预算绩效项目。具体附整体支出绩效自评表。</w:t>
      </w:r>
    </w:p>
    <w:p w14:paraId="53BFB96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3D6B3AE">
        <w:tblPrEx>
          <w:tblCellMar>
            <w:top w:w="0" w:type="dxa"/>
            <w:left w:w="108" w:type="dxa"/>
            <w:bottom w:w="0" w:type="dxa"/>
            <w:right w:w="108" w:type="dxa"/>
          </w:tblCellMar>
        </w:tblPrEx>
        <w:tc>
          <w:tcPr>
            <w:tcW w:w="8840" w:type="dxa"/>
            <w:gridSpan w:val="8"/>
            <w:vAlign w:val="center"/>
          </w:tcPr>
          <w:p w14:paraId="1E2FF48B">
            <w:pPr>
              <w:jc w:val="center"/>
            </w:pPr>
            <w:r>
              <w:rPr>
                <w:rFonts w:ascii="宋体" w:hAnsi="宋体" w:eastAsia="宋体"/>
                <w:sz w:val="24"/>
              </w:rPr>
              <w:t>单位整体支出绩效自评表</w:t>
            </w:r>
          </w:p>
        </w:tc>
      </w:tr>
      <w:tr w14:paraId="1F57D01C">
        <w:tblPrEx>
          <w:tblCellMar>
            <w:top w:w="0" w:type="dxa"/>
            <w:left w:w="108" w:type="dxa"/>
            <w:bottom w:w="0" w:type="dxa"/>
            <w:right w:w="108" w:type="dxa"/>
          </w:tblCellMar>
        </w:tblPrEx>
        <w:tc>
          <w:tcPr>
            <w:tcW w:w="8840" w:type="dxa"/>
            <w:gridSpan w:val="8"/>
            <w:vAlign w:val="center"/>
          </w:tcPr>
          <w:p w14:paraId="3ABEAEAD">
            <w:pPr>
              <w:jc w:val="center"/>
            </w:pPr>
            <w:r>
              <w:rPr>
                <w:rFonts w:ascii="宋体" w:hAnsi="宋体" w:eastAsia="宋体"/>
                <w:sz w:val="24"/>
              </w:rPr>
              <w:t>（2024年度）</w:t>
            </w:r>
          </w:p>
        </w:tc>
      </w:tr>
      <w:tr w14:paraId="7850144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7253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90CC5">
            <w:pPr>
              <w:jc w:val="center"/>
            </w:pPr>
            <w:r>
              <w:rPr>
                <w:rFonts w:ascii="宋体" w:hAnsi="宋体" w:eastAsia="宋体"/>
                <w:sz w:val="16"/>
              </w:rPr>
              <w:t>阿克陶县梧桐中学</w:t>
            </w:r>
          </w:p>
        </w:tc>
      </w:tr>
      <w:tr w14:paraId="4D8507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E864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012F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38F3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21C01">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78A7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2C3D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CDDE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C814C">
            <w:pPr>
              <w:jc w:val="center"/>
            </w:pPr>
            <w:r>
              <w:rPr>
                <w:rFonts w:ascii="宋体" w:hAnsi="宋体" w:eastAsia="宋体"/>
                <w:sz w:val="16"/>
              </w:rPr>
              <w:t>得分</w:t>
            </w:r>
          </w:p>
        </w:tc>
      </w:tr>
      <w:tr w14:paraId="3D71B5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31D3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636F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CC6C0">
            <w:pPr>
              <w:jc w:val="center"/>
            </w:pPr>
            <w:r>
              <w:rPr>
                <w:rFonts w:ascii="宋体" w:hAnsi="宋体" w:eastAsia="宋体"/>
                <w:sz w:val="16"/>
              </w:rPr>
              <w:t>3,867.43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4B2CC">
            <w:pPr>
              <w:jc w:val="center"/>
            </w:pPr>
            <w:r>
              <w:rPr>
                <w:rFonts w:ascii="宋体" w:hAnsi="宋体" w:eastAsia="宋体"/>
                <w:sz w:val="16"/>
              </w:rPr>
              <w:t>4,558.31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F3691">
            <w:pPr>
              <w:jc w:val="center"/>
            </w:pPr>
            <w:r>
              <w:rPr>
                <w:rFonts w:ascii="宋体" w:hAnsi="宋体" w:eastAsia="宋体"/>
                <w:sz w:val="16"/>
              </w:rPr>
              <w:t>4,456.94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ACB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9C36A">
            <w:pPr>
              <w:jc w:val="center"/>
            </w:pPr>
            <w:r>
              <w:rPr>
                <w:rFonts w:ascii="宋体" w:hAnsi="宋体" w:eastAsia="宋体"/>
                <w:sz w:val="16"/>
              </w:rPr>
              <w:t>97.78%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08443">
            <w:pPr>
              <w:jc w:val="center"/>
            </w:pPr>
            <w:r>
              <w:rPr>
                <w:rFonts w:ascii="宋体" w:hAnsi="宋体" w:eastAsia="宋体"/>
                <w:sz w:val="16"/>
              </w:rPr>
              <w:t>9.78</w:t>
            </w:r>
          </w:p>
        </w:tc>
      </w:tr>
      <w:tr w14:paraId="1ABC65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C90A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C041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93F0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107D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A678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8FA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892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6A94A">
            <w:pPr>
              <w:jc w:val="center"/>
            </w:pPr>
            <w:r>
              <w:rPr>
                <w:rFonts w:ascii="宋体" w:hAnsi="宋体" w:eastAsia="宋体"/>
                <w:sz w:val="16"/>
              </w:rPr>
              <w:t>—</w:t>
            </w:r>
          </w:p>
        </w:tc>
      </w:tr>
      <w:tr w14:paraId="7F6CB5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DBF6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652C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1DD04">
            <w:pPr>
              <w:jc w:val="center"/>
            </w:pPr>
            <w:r>
              <w:rPr>
                <w:rFonts w:ascii="宋体" w:hAnsi="宋体" w:eastAsia="宋体"/>
                <w:sz w:val="16"/>
              </w:rPr>
              <w:t>3,867.43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0B591">
            <w:pPr>
              <w:jc w:val="center"/>
            </w:pPr>
            <w:r>
              <w:rPr>
                <w:rFonts w:ascii="宋体" w:hAnsi="宋体" w:eastAsia="宋体"/>
                <w:sz w:val="16"/>
              </w:rPr>
              <w:t>4,558.31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4D2D2">
            <w:pPr>
              <w:jc w:val="center"/>
            </w:pPr>
            <w:r>
              <w:rPr>
                <w:rFonts w:ascii="宋体" w:hAnsi="宋体" w:eastAsia="宋体"/>
                <w:sz w:val="16"/>
              </w:rPr>
              <w:t>4,456.94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CFA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272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80143">
            <w:pPr>
              <w:jc w:val="center"/>
            </w:pPr>
            <w:r>
              <w:rPr>
                <w:rFonts w:ascii="宋体" w:hAnsi="宋体" w:eastAsia="宋体"/>
                <w:sz w:val="16"/>
              </w:rPr>
              <w:t>—</w:t>
            </w:r>
          </w:p>
        </w:tc>
      </w:tr>
      <w:tr w14:paraId="3FF75C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532A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BCC1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D216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CCEF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D137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4EA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72F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92EB8">
            <w:pPr>
              <w:jc w:val="center"/>
            </w:pPr>
            <w:r>
              <w:rPr>
                <w:rFonts w:ascii="宋体" w:hAnsi="宋体" w:eastAsia="宋体"/>
                <w:sz w:val="16"/>
              </w:rPr>
              <w:t>—</w:t>
            </w:r>
          </w:p>
        </w:tc>
      </w:tr>
      <w:tr w14:paraId="0A13DB3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0A2E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E07F4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B8CB2B">
            <w:pPr>
              <w:jc w:val="center"/>
            </w:pPr>
            <w:r>
              <w:rPr>
                <w:rFonts w:ascii="宋体" w:hAnsi="宋体" w:eastAsia="宋体"/>
                <w:sz w:val="16"/>
              </w:rPr>
              <w:t>实际完成情况</w:t>
            </w:r>
          </w:p>
        </w:tc>
      </w:tr>
      <w:tr w14:paraId="6821FD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66AC3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AD5790">
            <w:pPr>
              <w:jc w:val="both"/>
            </w:pPr>
            <w:r>
              <w:rPr>
                <w:rFonts w:ascii="宋体" w:hAnsi="宋体" w:eastAsia="宋体"/>
                <w:sz w:val="16"/>
              </w:rPr>
              <w:t>确保在职人员的工资、津贴、补贴、社保、医保、公积金等以及离退休人员的工资等人员保障性经费能够依规、按时、足额发放或缴纳，提升部门人员工作积极性和服务质量；保障部门日常运转，为部门正常履职和开展综合性事务提供有效支撑，确保冬季取暖费、车辆维护费等公用保障性经费按照财政安排和相关工作要求及时支出，进一步提升我校教育教学水平，最大程度提高师生的满意度。</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105208">
            <w:pPr>
              <w:jc w:val="both"/>
            </w:pPr>
            <w:r>
              <w:rPr>
                <w:rFonts w:ascii="宋体" w:hAnsi="宋体" w:eastAsia="宋体"/>
                <w:sz w:val="16"/>
              </w:rPr>
              <w:t>在职183人，退休9人，供养人员1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2502E10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2390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E3E9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20AF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67EC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BC0E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DF7A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68F6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5061E">
            <w:pPr>
              <w:jc w:val="center"/>
            </w:pPr>
            <w:r>
              <w:rPr>
                <w:rFonts w:ascii="宋体" w:hAnsi="宋体" w:eastAsia="宋体"/>
                <w:sz w:val="16"/>
              </w:rPr>
              <w:t>得分</w:t>
            </w:r>
          </w:p>
        </w:tc>
      </w:tr>
      <w:tr w14:paraId="1F9689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D3E28">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7932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9DE0F">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24F62">
            <w:pPr>
              <w:jc w:val="center"/>
            </w:pPr>
            <w:r>
              <w:rPr>
                <w:rFonts w:ascii="宋体" w:hAnsi="宋体" w:eastAsia="宋体"/>
                <w:sz w:val="16"/>
              </w:rPr>
              <w:t>&gt;=182人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27B67">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8D52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6875F">
            <w:pPr>
              <w:jc w:val="center"/>
            </w:pPr>
            <w:r>
              <w:rPr>
                <w:rFonts w:ascii="宋体" w:hAnsi="宋体" w:eastAsia="宋体"/>
                <w:sz w:val="16"/>
              </w:rPr>
              <w:t>183人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E3EED">
            <w:pPr>
              <w:jc w:val="center"/>
            </w:pPr>
            <w:r>
              <w:rPr>
                <w:rFonts w:ascii="宋体" w:hAnsi="宋体" w:eastAsia="宋体"/>
                <w:sz w:val="16"/>
              </w:rPr>
              <w:t>10</w:t>
            </w:r>
          </w:p>
        </w:tc>
      </w:tr>
      <w:tr w14:paraId="66BB4B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D418E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B4967">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A72C7">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59DF3">
            <w:pPr>
              <w:jc w:val="center"/>
            </w:pPr>
            <w:r>
              <w:rPr>
                <w:rFonts w:ascii="宋体" w:hAnsi="宋体" w:eastAsia="宋体"/>
                <w:sz w:val="16"/>
              </w:rPr>
              <w:t>&lt;=3787.24万元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9118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D475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827AA">
            <w:pPr>
              <w:jc w:val="center"/>
            </w:pPr>
            <w:r>
              <w:rPr>
                <w:rFonts w:ascii="宋体" w:hAnsi="宋体" w:eastAsia="宋体"/>
                <w:sz w:val="16"/>
              </w:rPr>
              <w:t>3847.1万元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0B157">
            <w:pPr>
              <w:jc w:val="center"/>
            </w:pPr>
            <w:r>
              <w:rPr>
                <w:rFonts w:ascii="宋体" w:hAnsi="宋体" w:eastAsia="宋体"/>
                <w:sz w:val="16"/>
              </w:rPr>
              <w:t>9.84</w:t>
            </w:r>
          </w:p>
        </w:tc>
      </w:tr>
      <w:tr w14:paraId="7F4006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B548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577E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1FD3A">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135A7">
            <w:pPr>
              <w:jc w:val="center"/>
            </w:pPr>
            <w:r>
              <w:rPr>
                <w:rFonts w:ascii="宋体" w:hAnsi="宋体" w:eastAsia="宋体"/>
                <w:sz w:val="16"/>
              </w:rPr>
              <w:t>&lt;=80.19万元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13BE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0DA6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37F45">
            <w:pPr>
              <w:jc w:val="center"/>
            </w:pPr>
            <w:r>
              <w:rPr>
                <w:rFonts w:ascii="宋体" w:hAnsi="宋体" w:eastAsia="宋体"/>
                <w:sz w:val="16"/>
              </w:rPr>
              <w:t>459.05万元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680AA">
            <w:pPr>
              <w:jc w:val="center"/>
            </w:pPr>
            <w:r>
              <w:rPr>
                <w:rFonts w:ascii="宋体" w:hAnsi="宋体" w:eastAsia="宋体"/>
                <w:sz w:val="16"/>
              </w:rPr>
              <w:t>1.75</w:t>
            </w:r>
          </w:p>
        </w:tc>
      </w:tr>
      <w:tr w14:paraId="6366E00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1DA71">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7924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AECCC">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985D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3279C">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577A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56C8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9ED8C">
            <w:pPr>
              <w:jc w:val="center"/>
            </w:pPr>
            <w:r>
              <w:rPr>
                <w:rFonts w:ascii="宋体" w:hAnsi="宋体" w:eastAsia="宋体"/>
                <w:sz w:val="16"/>
              </w:rPr>
              <w:t>15</w:t>
            </w:r>
          </w:p>
        </w:tc>
      </w:tr>
      <w:tr w14:paraId="2761F46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4675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EBCA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0BD63">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713B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5B65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5216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46357">
            <w:pPr>
              <w:jc w:val="center"/>
            </w:pPr>
            <w:r>
              <w:rPr>
                <w:rFonts w:ascii="宋体" w:hAnsi="宋体" w:eastAsia="宋体"/>
                <w:sz w:val="16"/>
              </w:rPr>
              <w:t>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013DB">
            <w:pPr>
              <w:jc w:val="center"/>
            </w:pPr>
            <w:r>
              <w:rPr>
                <w:rFonts w:ascii="宋体" w:hAnsi="宋体" w:eastAsia="宋体"/>
                <w:sz w:val="16"/>
              </w:rPr>
              <w:t>15</w:t>
            </w:r>
          </w:p>
        </w:tc>
      </w:tr>
      <w:tr w14:paraId="13D990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233A9">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E977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13B02">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0A8F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94FA2">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A18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5766C">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E4425">
            <w:pPr>
              <w:jc w:val="center"/>
            </w:pPr>
            <w:r>
              <w:rPr>
                <w:rFonts w:ascii="宋体" w:hAnsi="宋体" w:eastAsia="宋体"/>
                <w:sz w:val="16"/>
              </w:rPr>
              <w:t>10</w:t>
            </w:r>
          </w:p>
        </w:tc>
      </w:tr>
      <w:tr w14:paraId="4F3DCE8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AA6D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EEAC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E47C0">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2B06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B5CF6">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133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5B7E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36BD9">
            <w:pPr>
              <w:jc w:val="center"/>
            </w:pPr>
            <w:r>
              <w:rPr>
                <w:rFonts w:ascii="宋体" w:hAnsi="宋体" w:eastAsia="宋体"/>
                <w:sz w:val="16"/>
              </w:rPr>
              <w:t>10</w:t>
            </w:r>
          </w:p>
        </w:tc>
      </w:tr>
      <w:tr w14:paraId="7D4B77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81DBF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549C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1DB44">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BFA8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43ECD">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61F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F95D8">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5AB35">
            <w:pPr>
              <w:jc w:val="center"/>
            </w:pPr>
            <w:r>
              <w:rPr>
                <w:rFonts w:ascii="宋体" w:hAnsi="宋体" w:eastAsia="宋体"/>
                <w:sz w:val="16"/>
              </w:rPr>
              <w:t>10</w:t>
            </w:r>
          </w:p>
        </w:tc>
      </w:tr>
    </w:tbl>
    <w:p w14:paraId="602A2E9E">
      <w:r>
        <w:br w:type="page"/>
      </w:r>
    </w:p>
    <w:p w14:paraId="4342DF5E">
      <w:pPr>
        <w:spacing w:line="640" w:lineRule="exact"/>
        <w:ind w:firstLine="640"/>
        <w:jc w:val="both"/>
        <w:outlineLvl w:val="2"/>
      </w:pPr>
      <w:r>
        <w:rPr>
          <w:rFonts w:ascii="黑体" w:hAnsi="黑体" w:eastAsia="黑体"/>
          <w:sz w:val="32"/>
        </w:rPr>
        <w:t>十二、其他需说明的事项</w:t>
      </w:r>
    </w:p>
    <w:p w14:paraId="2A0CE92C">
      <w:pPr>
        <w:spacing w:line="580" w:lineRule="exact"/>
        <w:ind w:firstLine="640"/>
        <w:jc w:val="both"/>
      </w:pPr>
      <w:r>
        <w:rPr>
          <w:rFonts w:ascii="仿宋_GB2312" w:hAnsi="仿宋_GB2312" w:eastAsia="仿宋_GB2312"/>
          <w:b w:val="0"/>
          <w:sz w:val="32"/>
        </w:rPr>
        <w:t>本单位无其他需说明的事项。</w:t>
      </w:r>
    </w:p>
    <w:p w14:paraId="36744A35">
      <w:r>
        <w:br w:type="page"/>
      </w:r>
    </w:p>
    <w:p w14:paraId="5E32E650">
      <w:pPr>
        <w:spacing w:line="240" w:lineRule="auto"/>
        <w:jc w:val="center"/>
        <w:outlineLvl w:val="1"/>
      </w:pPr>
      <w:r>
        <w:rPr>
          <w:rFonts w:ascii="黑体" w:hAnsi="黑体" w:eastAsia="黑体"/>
          <w:sz w:val="32"/>
        </w:rPr>
        <w:t>第三部分 专业名词解释</w:t>
      </w:r>
    </w:p>
    <w:p w14:paraId="6FA7867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E3E627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B6BA4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3B086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D6030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EAB52D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351704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F1136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07ED7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7140B0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ECB24A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566CD0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212105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29B61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633A01">
      <w:r>
        <w:br w:type="page"/>
      </w:r>
    </w:p>
    <w:p w14:paraId="176CC62F">
      <w:pPr>
        <w:spacing w:line="240" w:lineRule="auto"/>
        <w:jc w:val="center"/>
        <w:outlineLvl w:val="1"/>
      </w:pPr>
      <w:r>
        <w:rPr>
          <w:rFonts w:ascii="黑体" w:hAnsi="黑体" w:eastAsia="黑体"/>
          <w:sz w:val="32"/>
        </w:rPr>
        <w:t>第四部分 部门决算报表（见附表）</w:t>
      </w:r>
    </w:p>
    <w:p w14:paraId="4318248F">
      <w:pPr>
        <w:spacing w:line="240" w:lineRule="auto"/>
        <w:ind w:firstLine="640"/>
        <w:jc w:val="both"/>
      </w:pPr>
      <w:r>
        <w:rPr>
          <w:rFonts w:ascii="仿宋_GB2312" w:hAnsi="仿宋_GB2312" w:eastAsia="仿宋_GB2312"/>
          <w:b w:val="0"/>
          <w:sz w:val="32"/>
        </w:rPr>
        <w:t>一、《收入支出决算总表》</w:t>
      </w:r>
    </w:p>
    <w:p w14:paraId="3F6F50C3">
      <w:pPr>
        <w:spacing w:line="240" w:lineRule="auto"/>
        <w:ind w:firstLine="640"/>
        <w:jc w:val="both"/>
      </w:pPr>
      <w:r>
        <w:rPr>
          <w:rFonts w:ascii="仿宋_GB2312" w:hAnsi="仿宋_GB2312" w:eastAsia="仿宋_GB2312"/>
          <w:b w:val="0"/>
          <w:sz w:val="32"/>
        </w:rPr>
        <w:t>二、《收入决算表》</w:t>
      </w:r>
    </w:p>
    <w:p w14:paraId="7EF7E6C2">
      <w:pPr>
        <w:spacing w:line="240" w:lineRule="auto"/>
        <w:ind w:firstLine="640"/>
        <w:jc w:val="both"/>
      </w:pPr>
      <w:r>
        <w:rPr>
          <w:rFonts w:ascii="仿宋_GB2312" w:hAnsi="仿宋_GB2312" w:eastAsia="仿宋_GB2312"/>
          <w:b w:val="0"/>
          <w:sz w:val="32"/>
        </w:rPr>
        <w:t>三、《支出决算表》</w:t>
      </w:r>
    </w:p>
    <w:p w14:paraId="3C9C9650">
      <w:pPr>
        <w:spacing w:line="240" w:lineRule="auto"/>
        <w:ind w:firstLine="640"/>
        <w:jc w:val="both"/>
      </w:pPr>
      <w:r>
        <w:rPr>
          <w:rFonts w:ascii="仿宋_GB2312" w:hAnsi="仿宋_GB2312" w:eastAsia="仿宋_GB2312"/>
          <w:b w:val="0"/>
          <w:sz w:val="32"/>
        </w:rPr>
        <w:t>四、《财政拨款收入支出决算总表》</w:t>
      </w:r>
    </w:p>
    <w:p w14:paraId="5575C99A">
      <w:pPr>
        <w:spacing w:line="240" w:lineRule="auto"/>
        <w:ind w:firstLine="640"/>
        <w:jc w:val="both"/>
      </w:pPr>
      <w:r>
        <w:rPr>
          <w:rFonts w:ascii="仿宋_GB2312" w:hAnsi="仿宋_GB2312" w:eastAsia="仿宋_GB2312"/>
          <w:b w:val="0"/>
          <w:sz w:val="32"/>
        </w:rPr>
        <w:t>五、《一般公共预算财政拨款支出决算表》</w:t>
      </w:r>
    </w:p>
    <w:p w14:paraId="0198066F">
      <w:pPr>
        <w:spacing w:line="240" w:lineRule="auto"/>
        <w:ind w:firstLine="640"/>
        <w:jc w:val="both"/>
      </w:pPr>
      <w:r>
        <w:rPr>
          <w:rFonts w:ascii="仿宋_GB2312" w:hAnsi="仿宋_GB2312" w:eastAsia="仿宋_GB2312"/>
          <w:b w:val="0"/>
          <w:sz w:val="32"/>
        </w:rPr>
        <w:t>六、《一般公共预算财政拨款基本支出决算表》</w:t>
      </w:r>
    </w:p>
    <w:p w14:paraId="5E900FF4">
      <w:pPr>
        <w:spacing w:line="240" w:lineRule="auto"/>
        <w:ind w:firstLine="640"/>
        <w:jc w:val="both"/>
      </w:pPr>
      <w:r>
        <w:rPr>
          <w:rFonts w:ascii="仿宋_GB2312" w:hAnsi="仿宋_GB2312" w:eastAsia="仿宋_GB2312"/>
          <w:b w:val="0"/>
          <w:sz w:val="32"/>
        </w:rPr>
        <w:t>七、《政府性基金预算财政拨款收入支出决算表》</w:t>
      </w:r>
    </w:p>
    <w:p w14:paraId="2E06CDD6">
      <w:pPr>
        <w:spacing w:line="240" w:lineRule="auto"/>
        <w:ind w:firstLine="640"/>
        <w:jc w:val="both"/>
      </w:pPr>
      <w:r>
        <w:rPr>
          <w:rFonts w:ascii="仿宋_GB2312" w:hAnsi="仿宋_GB2312" w:eastAsia="仿宋_GB2312"/>
          <w:b w:val="0"/>
          <w:sz w:val="32"/>
        </w:rPr>
        <w:t>八、《国有资本经营预算财政拨款收入支出决算表》</w:t>
      </w:r>
    </w:p>
    <w:p w14:paraId="5B318E13">
      <w:pPr>
        <w:spacing w:line="240" w:lineRule="auto"/>
        <w:ind w:firstLine="640"/>
        <w:jc w:val="both"/>
      </w:pPr>
      <w:r>
        <w:rPr>
          <w:rFonts w:ascii="仿宋_GB2312" w:hAnsi="仿宋_GB2312" w:eastAsia="仿宋_GB2312"/>
          <w:b w:val="0"/>
          <w:sz w:val="32"/>
        </w:rPr>
        <w:t>九、《财政拨款“三公”经费支出决算表》</w:t>
      </w:r>
    </w:p>
    <w:p w14:paraId="00D25A25">
      <w:pPr>
        <w:spacing w:line="240" w:lineRule="auto"/>
        <w:ind w:firstLine="640"/>
        <w:jc w:val="both"/>
      </w:pPr>
    </w:p>
    <w:p w14:paraId="14CCBFAC">
      <w:pPr>
        <w:spacing w:line="240" w:lineRule="auto"/>
        <w:ind w:firstLine="640"/>
        <w:jc w:val="both"/>
      </w:pPr>
    </w:p>
    <w:p w14:paraId="4124ED69">
      <w:pPr>
        <w:spacing w:line="240" w:lineRule="auto"/>
        <w:ind w:firstLine="640"/>
        <w:jc w:val="both"/>
      </w:pPr>
    </w:p>
    <w:p w14:paraId="46B68FEC">
      <w:pPr>
        <w:spacing w:line="240" w:lineRule="auto"/>
        <w:ind w:firstLine="640"/>
        <w:jc w:val="both"/>
      </w:pPr>
    </w:p>
    <w:p w14:paraId="40E8D68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102E02-2FA9-400F-A465-0F47AE2B6F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DF7E50C-604C-4019-AC6F-9739CC937B77}"/>
  </w:font>
  <w:font w:name="仿宋_GB2312">
    <w:altName w:val="仿宋"/>
    <w:panose1 w:val="02010609030101010101"/>
    <w:charset w:val="86"/>
    <w:family w:val="modern"/>
    <w:pitch w:val="default"/>
    <w:sig w:usb0="00000000" w:usb1="00000000" w:usb2="00000000" w:usb3="00000000" w:csb0="00040000" w:csb1="00000000"/>
    <w:embedRegular r:id="rId3" w:fontKey="{3D23ADC7-D311-4064-B1B8-06992ED6FE29}"/>
  </w:font>
  <w:font w:name="楷体_GB2312">
    <w:altName w:val="楷体"/>
    <w:panose1 w:val="02010609030101010101"/>
    <w:charset w:val="86"/>
    <w:family w:val="auto"/>
    <w:pitch w:val="default"/>
    <w:sig w:usb0="00000000" w:usb1="00000000" w:usb2="00000000" w:usb3="00000000" w:csb0="00040000" w:csb1="00000000"/>
    <w:embedRegular r:id="rId4" w:fontKey="{B2C418A8-98AA-4639-A9E2-BDB79EC4C208}"/>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C9046A"/>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75084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5687</Words>
  <Characters>6456</Characters>
  <Lines>0</Lines>
  <Paragraphs>0</Paragraphs>
  <TotalTime>4</TotalTime>
  <ScaleCrop>false</ScaleCrop>
  <LinksUpToDate>false</LinksUpToDate>
  <CharactersWithSpaces>6466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2025-09-15T08:56:11Z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