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阿克陶县雪松中学2024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41815EF">
      <w:r>
        <w:br w:type="page"/>
      </w:r>
    </w:p>
    <w:p w14:paraId="0DD4CDB9">
      <w:pPr>
        <w:spacing w:line="640" w:lineRule="exact"/>
        <w:jc w:val="center"/>
        <w:outlineLvl w:val="1"/>
      </w:pPr>
      <w:r>
        <w:rPr>
          <w:rFonts w:ascii="黑体" w:hAnsi="黑体" w:eastAsia="黑体"/>
          <w:sz w:val="32"/>
        </w:rPr>
        <w:t>第一部分 单位概况</w:t>
      </w:r>
    </w:p>
    <w:p w14:paraId="047A5954">
      <w:pPr>
        <w:spacing w:line="640" w:lineRule="exact"/>
        <w:ind w:firstLine="640"/>
        <w:jc w:val="both"/>
        <w:outlineLvl w:val="2"/>
      </w:pPr>
      <w:r>
        <w:rPr>
          <w:rFonts w:ascii="黑体" w:hAnsi="黑体" w:eastAsia="黑体"/>
          <w:sz w:val="32"/>
        </w:rPr>
        <w:t>一、主要职能</w:t>
      </w:r>
    </w:p>
    <w:p w14:paraId="0A4B1C92">
      <w:pPr>
        <w:spacing w:line="580" w:lineRule="exact"/>
        <w:ind w:firstLine="640"/>
        <w:jc w:val="both"/>
      </w:pPr>
      <w:r>
        <w:rPr>
          <w:rFonts w:ascii="仿宋_GB2312" w:hAnsi="仿宋_GB2312" w:eastAsia="仿宋_GB2312"/>
          <w:sz w:val="32"/>
        </w:rPr>
        <w:t>1、课程管理。</w:t>
      </w:r>
    </w:p>
    <w:p w14:paraId="6740D484">
      <w:pPr>
        <w:spacing w:line="580" w:lineRule="exact"/>
        <w:ind w:firstLine="640"/>
        <w:jc w:val="both"/>
      </w:pPr>
      <w:r>
        <w:rPr>
          <w:rFonts w:ascii="仿宋_GB2312" w:hAnsi="仿宋_GB2312" w:eastAsia="仿宋_GB2312"/>
          <w:sz w:val="32"/>
        </w:rPr>
        <w:t>按照国家规定的计划,严格落实课程设置，开齐开足各类课程、保证学生每天不少于一个小时的体育活动。抓好三表的制定和管理：作息时间表、教学计划表和课程表的贯彻落实是教学秩序稳定的关键。严格按照自治区素质教育要求，制定春季、夏季作息时间表，并认真执行。抓好教研组、备课组、教师的教学计划的制定，使各阶段的教学活动有计划、有措施、有总结。教师必须严格按课程表上课，不迟到、不早退，不擅自调课。保证均衡分班排课。根据学校工作计划对教学工作的要求，协调年级组长和学科组长制定教学工作计划，做好各年级的分课排课工作。</w:t>
      </w:r>
    </w:p>
    <w:p w14:paraId="21B73653">
      <w:pPr>
        <w:spacing w:line="580" w:lineRule="exact"/>
        <w:ind w:firstLine="640"/>
        <w:jc w:val="both"/>
      </w:pPr>
      <w:r>
        <w:rPr>
          <w:rFonts w:ascii="仿宋_GB2312" w:hAnsi="仿宋_GB2312" w:eastAsia="仿宋_GB2312"/>
          <w:sz w:val="32"/>
        </w:rPr>
        <w:t>2、学籍管理。</w:t>
      </w:r>
    </w:p>
    <w:p w14:paraId="6D78CC25">
      <w:pPr>
        <w:spacing w:line="580" w:lineRule="exact"/>
        <w:ind w:firstLine="640"/>
        <w:jc w:val="both"/>
      </w:pPr>
      <w:r>
        <w:rPr>
          <w:rFonts w:ascii="仿宋_GB2312" w:hAnsi="仿宋_GB2312" w:eastAsia="仿宋_GB2312"/>
          <w:sz w:val="32"/>
        </w:rPr>
        <w:t>安排专门负责学校学生学籍管理工作。做好学生学籍管理工作和师生实名制工作、严格执行学籍管理的有关规定，抓好学生档案、加强转入转出学生学籍管理。转学、休学、毕业的相关资料，并妥善保管。按上级要求，及时上传上报相关表册或数据，使学籍管理制度化，规范化。每学期对各年级组织一次学生成长记录袋的填写培训工作。</w:t>
      </w:r>
    </w:p>
    <w:p w14:paraId="7595253A">
      <w:pPr>
        <w:spacing w:line="580" w:lineRule="exact"/>
        <w:ind w:firstLine="640"/>
        <w:jc w:val="both"/>
      </w:pPr>
      <w:r>
        <w:rPr>
          <w:rFonts w:ascii="仿宋_GB2312" w:hAnsi="仿宋_GB2312" w:eastAsia="仿宋_GB2312"/>
          <w:sz w:val="32"/>
        </w:rPr>
        <w:t>3、考试管理。</w:t>
      </w:r>
    </w:p>
    <w:p w14:paraId="2DD8EAE8">
      <w:pPr>
        <w:spacing w:line="580" w:lineRule="exact"/>
        <w:ind w:firstLine="640"/>
        <w:jc w:val="both"/>
      </w:pPr>
      <w:r>
        <w:rPr>
          <w:rFonts w:ascii="仿宋_GB2312" w:hAnsi="仿宋_GB2312" w:eastAsia="仿宋_GB2312"/>
          <w:sz w:val="32"/>
        </w:rPr>
        <w:t>认真组织好每月测评、期中、期末和高中年级学业水平考试，积极配合县教育局组织的各级各类考试，加强考试期间的管理，做好考试前的各项准备工作，如编排布置考场、编印监考表等，做到每次考试都有专人负责。加强学生的考风考纪教育，杜绝一切作弊行为；考试后认真分析成绩、力求公正、做好各年级的质量分析工作，认真研究分析教与学情况，及时发现问题、做出正确的客观评价；召开师生座谈会，开展学生问卷调查，分析教学情况，提出针对性的改进措施，将质量分析落到实处。</w:t>
      </w:r>
    </w:p>
    <w:p w14:paraId="3EEF2475">
      <w:pPr>
        <w:spacing w:line="580" w:lineRule="exact"/>
        <w:ind w:firstLine="640"/>
        <w:jc w:val="both"/>
      </w:pPr>
      <w:r>
        <w:rPr>
          <w:rFonts w:ascii="仿宋_GB2312" w:hAnsi="仿宋_GB2312" w:eastAsia="仿宋_GB2312"/>
          <w:sz w:val="32"/>
        </w:rPr>
        <w:t>4、切实加强学科组的建设。</w:t>
      </w:r>
    </w:p>
    <w:p w14:paraId="2590CB00">
      <w:pPr>
        <w:spacing w:line="580" w:lineRule="exact"/>
        <w:ind w:firstLine="640"/>
        <w:jc w:val="both"/>
      </w:pPr>
      <w:r>
        <w:rPr>
          <w:rFonts w:ascii="仿宋_GB2312" w:hAnsi="仿宋_GB2312" w:eastAsia="仿宋_GB2312"/>
          <w:sz w:val="32"/>
        </w:rPr>
        <w:t>进一步统一思想，提振精神，再鼓干劲，以更加扎实的作风全面推进克州教育事业发展。我们要随着贯彻落实党的十九大精神和推进国家通用语言文字使用的不断深入，要求每位教师转变观念、提高认识，形成新型的教育观、质量观。</w:t>
      </w:r>
    </w:p>
    <w:p w14:paraId="37A6A578">
      <w:pPr>
        <w:spacing w:line="580" w:lineRule="exact"/>
        <w:ind w:firstLine="640"/>
        <w:jc w:val="both"/>
      </w:pPr>
      <w:r>
        <w:rPr>
          <w:rFonts w:ascii="仿宋_GB2312" w:hAnsi="仿宋_GB2312" w:eastAsia="仿宋_GB2312"/>
          <w:sz w:val="32"/>
        </w:rPr>
        <w:t>5、加强全体师生安全教育。利用周一升旗活动时间强调安全事项。利用主题班会、德育活动、学科渗透，校园广播等途径，对学生开展安全</w:t>
      </w:r>
      <w:r>
        <w:rPr>
          <w:rFonts w:hint="eastAsia" w:ascii="仿宋_GB2312" w:hAnsi="仿宋_GB2312" w:eastAsia="仿宋_GB2312"/>
          <w:sz w:val="32"/>
          <w:lang w:eastAsia="zh-CN"/>
        </w:rPr>
        <w:t>国防教育</w:t>
      </w:r>
      <w:r>
        <w:rPr>
          <w:rFonts w:ascii="仿宋_GB2312" w:hAnsi="仿宋_GB2312" w:eastAsia="仿宋_GB2312"/>
          <w:sz w:val="32"/>
        </w:rPr>
        <w:t>，使学生接受比较系统的防溺水、防交通事故、防触电、防食物中毒、防传染病、防火、防盗、防震、防煤气中毒、防电信诈骗等安全知识和技能教育。开展安全逃生演练活动。为了提高师生的安全防范意识和逃生技能，学校每个月开展一次安全演练逃生活动。教师和学生必须明确要求与路线，责任到人，确保演练取得成效，提高学生的自我救护能力。学校每月至少开展一次防震减灾安全逃生疏散演练、消防器材灭火演练活动。</w:t>
      </w:r>
    </w:p>
    <w:p w14:paraId="5AAF69A0">
      <w:pPr>
        <w:spacing w:line="580" w:lineRule="exact"/>
        <w:ind w:firstLine="640"/>
        <w:jc w:val="both"/>
      </w:pPr>
      <w:r>
        <w:rPr>
          <w:rFonts w:ascii="仿宋_GB2312" w:hAnsi="仿宋_GB2312" w:eastAsia="仿宋_GB2312"/>
          <w:sz w:val="32"/>
        </w:rPr>
        <w:t>6、加强安全保卫与值班工作。把好门卫安全第一关，学校加强门卫的管理工作，严格落实24小时“四位一体”值班制度，严格来客登记制度，与各部门联系的外来人员，必须要电话告知，外来人员经防疫检测合格后方可入校。学生在校期间家长无特殊情况不得进入校园，并要求学生在校期间不准离校。配备对讲机、防刺背心、头盔、防割手套、防爆棍、钢叉、强光手电、一键式报警器等器械，严格保证“三防”建设。</w:t>
      </w:r>
    </w:p>
    <w:p w14:paraId="21BCD88C">
      <w:pPr>
        <w:spacing w:line="640" w:lineRule="exact"/>
        <w:ind w:firstLine="640"/>
        <w:jc w:val="both"/>
        <w:outlineLvl w:val="2"/>
      </w:pPr>
      <w:r>
        <w:rPr>
          <w:rFonts w:ascii="黑体" w:hAnsi="黑体" w:eastAsia="黑体"/>
          <w:sz w:val="32"/>
        </w:rPr>
        <w:t>二、机构设置及人员情况</w:t>
      </w:r>
    </w:p>
    <w:p w14:paraId="46E4122C">
      <w:pPr>
        <w:spacing w:line="580" w:lineRule="exact"/>
        <w:ind w:firstLine="640"/>
        <w:jc w:val="both"/>
      </w:pPr>
      <w:r>
        <w:rPr>
          <w:rFonts w:ascii="仿宋_GB2312" w:hAnsi="仿宋_GB2312" w:eastAsia="仿宋_GB2312"/>
          <w:sz w:val="32"/>
        </w:rPr>
        <w:t>阿克陶县雪松中学2024年度，实有人数378人，其中：在职人员331人，减少3人；离休人员0人，增加0人；退休人员47人,减少1人。</w:t>
      </w:r>
    </w:p>
    <w:p w14:paraId="097A454C">
      <w:pPr>
        <w:spacing w:line="580" w:lineRule="exact"/>
        <w:ind w:firstLine="640"/>
        <w:jc w:val="both"/>
      </w:pPr>
      <w:r>
        <w:rPr>
          <w:rFonts w:ascii="仿宋_GB2312" w:hAnsi="仿宋_GB2312" w:eastAsia="仿宋_GB2312"/>
          <w:sz w:val="32"/>
        </w:rPr>
        <w:t>阿克陶县雪松中学无下属预算单位，下设8个科室，分别是：办公室、党建办、教研室、教务处、德育处、均衡化办公室、财务室、项目办。</w:t>
      </w:r>
    </w:p>
    <w:p w14:paraId="7B8E415E">
      <w:r>
        <w:br w:type="page"/>
      </w:r>
    </w:p>
    <w:p w14:paraId="0EEEFCE3">
      <w:pPr>
        <w:spacing w:line="240" w:lineRule="auto"/>
        <w:jc w:val="center"/>
        <w:outlineLvl w:val="1"/>
      </w:pPr>
      <w:r>
        <w:rPr>
          <w:rFonts w:ascii="黑体" w:hAnsi="黑体" w:eastAsia="黑体"/>
          <w:sz w:val="32"/>
        </w:rPr>
        <w:t>第二部分 部门决算情况说明</w:t>
      </w:r>
    </w:p>
    <w:p w14:paraId="15B08670">
      <w:pPr>
        <w:spacing w:line="640" w:lineRule="exact"/>
        <w:ind w:firstLine="640"/>
        <w:jc w:val="both"/>
        <w:outlineLvl w:val="2"/>
      </w:pPr>
      <w:r>
        <w:rPr>
          <w:rFonts w:ascii="黑体" w:hAnsi="黑体" w:eastAsia="黑体"/>
          <w:sz w:val="32"/>
        </w:rPr>
        <w:t>一、收入支出决算总体情况说明</w:t>
      </w:r>
    </w:p>
    <w:p w14:paraId="0079B08C">
      <w:pPr>
        <w:spacing w:line="580" w:lineRule="exact"/>
        <w:ind w:firstLine="640"/>
        <w:jc w:val="both"/>
      </w:pPr>
      <w:r>
        <w:rPr>
          <w:rFonts w:ascii="仿宋_GB2312" w:hAnsi="仿宋_GB2312" w:eastAsia="仿宋_GB2312"/>
          <w:b/>
          <w:sz w:val="32"/>
        </w:rPr>
        <w:t>2024年度收入总计8,894.41万元，</w:t>
      </w:r>
      <w:r>
        <w:rPr>
          <w:rFonts w:ascii="仿宋_GB2312" w:hAnsi="仿宋_GB2312" w:eastAsia="仿宋_GB2312"/>
          <w:b w:val="0"/>
          <w:sz w:val="32"/>
        </w:rPr>
        <w:t>其中：本年收入合计8,866.28万元，使用非财政拨款结余（含专用结余）0.00万元，年初结转和结余28.13万元。</w:t>
      </w:r>
    </w:p>
    <w:p w14:paraId="4B62A524">
      <w:pPr>
        <w:spacing w:line="580" w:lineRule="exact"/>
        <w:ind w:firstLine="640"/>
        <w:jc w:val="both"/>
      </w:pPr>
      <w:r>
        <w:rPr>
          <w:rFonts w:ascii="仿宋_GB2312" w:hAnsi="仿宋_GB2312" w:eastAsia="仿宋_GB2312"/>
          <w:b/>
          <w:sz w:val="32"/>
        </w:rPr>
        <w:t>2024年度支出总计8,894.41万元，</w:t>
      </w:r>
      <w:r>
        <w:rPr>
          <w:rFonts w:ascii="仿宋_GB2312" w:hAnsi="仿宋_GB2312" w:eastAsia="仿宋_GB2312"/>
          <w:b w:val="0"/>
          <w:sz w:val="32"/>
        </w:rPr>
        <w:t>其中：本年支出合计8,878.77万元，结余分配0.00万元，年末结转和结余15.64万元。</w:t>
      </w:r>
    </w:p>
    <w:p w14:paraId="03D9D7A6">
      <w:pPr>
        <w:spacing w:line="580" w:lineRule="exact"/>
        <w:ind w:firstLine="640"/>
        <w:jc w:val="both"/>
      </w:pPr>
      <w:r>
        <w:rPr>
          <w:rFonts w:ascii="仿宋_GB2312" w:hAnsi="仿宋_GB2312" w:eastAsia="仿宋_GB2312"/>
          <w:b w:val="0"/>
          <w:sz w:val="32"/>
        </w:rPr>
        <w:t>收入支出总体与上年相比，增加568.68万元，增长6.83%，主要原因是：本年在职人员工资调增，社保、公积金基数调增，人员经费增加，本年增加援疆干部人才南疆工作补贴资金项目，义务教育补助支出、普通高中补助经费项目资金较上年增加，导致经费较上年增加。</w:t>
      </w:r>
    </w:p>
    <w:p w14:paraId="0268CC91">
      <w:pPr>
        <w:spacing w:line="640" w:lineRule="exact"/>
        <w:ind w:firstLine="640"/>
        <w:jc w:val="both"/>
        <w:outlineLvl w:val="2"/>
      </w:pPr>
      <w:r>
        <w:rPr>
          <w:rFonts w:ascii="黑体" w:hAnsi="黑体" w:eastAsia="黑体"/>
          <w:sz w:val="32"/>
        </w:rPr>
        <w:t>二、收入决算情况说明</w:t>
      </w:r>
    </w:p>
    <w:p w14:paraId="05387AB9">
      <w:pPr>
        <w:spacing w:line="580" w:lineRule="exact"/>
        <w:ind w:firstLine="640"/>
        <w:jc w:val="both"/>
      </w:pPr>
      <w:r>
        <w:rPr>
          <w:rFonts w:ascii="仿宋_GB2312" w:hAnsi="仿宋_GB2312" w:eastAsia="仿宋_GB2312"/>
          <w:b/>
          <w:sz w:val="32"/>
        </w:rPr>
        <w:t>本年收入8,866.28万元，</w:t>
      </w:r>
      <w:r>
        <w:rPr>
          <w:rFonts w:ascii="仿宋_GB2312" w:hAnsi="仿宋_GB2312" w:eastAsia="仿宋_GB2312"/>
          <w:b w:val="0"/>
          <w:sz w:val="32"/>
        </w:rPr>
        <w:t>其中：财政拨款收入8,855.67万元，占99.88%；上级补助收入0.00万元，占0.00%；事业收入0.00万元，占0.00%；经营收入0.00万元，占0.00%；附属单位上缴收入0.00万元，占0.00%；其他收入10.62万元，占0.12%。</w:t>
      </w:r>
    </w:p>
    <w:p w14:paraId="3CFB180D">
      <w:pPr>
        <w:spacing w:line="640" w:lineRule="exact"/>
        <w:ind w:firstLine="640"/>
        <w:jc w:val="both"/>
        <w:outlineLvl w:val="2"/>
      </w:pPr>
      <w:r>
        <w:rPr>
          <w:rFonts w:ascii="黑体" w:hAnsi="黑体" w:eastAsia="黑体"/>
          <w:sz w:val="32"/>
        </w:rPr>
        <w:t>三、支出决算情况说明</w:t>
      </w:r>
    </w:p>
    <w:p w14:paraId="34DE71DE">
      <w:pPr>
        <w:spacing w:line="580" w:lineRule="exact"/>
        <w:ind w:firstLine="640"/>
        <w:jc w:val="both"/>
      </w:pPr>
      <w:r>
        <w:rPr>
          <w:rFonts w:ascii="仿宋_GB2312" w:hAnsi="仿宋_GB2312" w:eastAsia="仿宋_GB2312"/>
          <w:b/>
          <w:sz w:val="32"/>
        </w:rPr>
        <w:t>本年支出8,878.77万元，</w:t>
      </w:r>
      <w:r>
        <w:rPr>
          <w:rFonts w:ascii="仿宋_GB2312" w:hAnsi="仿宋_GB2312" w:eastAsia="仿宋_GB2312"/>
          <w:b w:val="0"/>
          <w:sz w:val="32"/>
        </w:rPr>
        <w:t>其中：基本支出7,533.47万元，占84.85%；项目支出1,345.30万元，占15.15%；上缴上级支出0.00万元，占0.00%；经营支出0.00万元，占0.00%；对附属单位补助支出0.00万元，占0.00%。</w:t>
      </w:r>
    </w:p>
    <w:p w14:paraId="62C8DA4C">
      <w:pPr>
        <w:spacing w:line="640" w:lineRule="exact"/>
        <w:ind w:firstLine="640"/>
        <w:jc w:val="both"/>
        <w:outlineLvl w:val="2"/>
      </w:pPr>
      <w:r>
        <w:rPr>
          <w:rFonts w:ascii="黑体" w:hAnsi="黑体" w:eastAsia="黑体"/>
          <w:sz w:val="32"/>
        </w:rPr>
        <w:t>四、财政拨款收入支出决算总体情况说明</w:t>
      </w:r>
    </w:p>
    <w:p w14:paraId="58ED68D4">
      <w:pPr>
        <w:spacing w:line="580" w:lineRule="exact"/>
        <w:ind w:firstLine="640"/>
        <w:jc w:val="both"/>
      </w:pPr>
      <w:r>
        <w:rPr>
          <w:rFonts w:ascii="仿宋_GB2312" w:hAnsi="仿宋_GB2312" w:eastAsia="仿宋_GB2312"/>
          <w:b/>
          <w:sz w:val="32"/>
        </w:rPr>
        <w:t>2024年度财政拨款收入总计8,855.67万元，</w:t>
      </w:r>
      <w:r>
        <w:rPr>
          <w:rFonts w:ascii="仿宋_GB2312" w:hAnsi="仿宋_GB2312" w:eastAsia="仿宋_GB2312"/>
          <w:b w:val="0"/>
          <w:sz w:val="32"/>
        </w:rPr>
        <w:t>其中：年初财政拨款结转和结余0.00万元，本年财政拨款收入8,855.67万元。</w:t>
      </w:r>
      <w:r>
        <w:rPr>
          <w:rFonts w:ascii="仿宋_GB2312" w:hAnsi="仿宋_GB2312" w:eastAsia="仿宋_GB2312"/>
          <w:b/>
          <w:sz w:val="32"/>
        </w:rPr>
        <w:t>财政拨款支出总计8,855.67万元，</w:t>
      </w:r>
      <w:r>
        <w:rPr>
          <w:rFonts w:ascii="仿宋_GB2312" w:hAnsi="仿宋_GB2312" w:eastAsia="仿宋_GB2312"/>
          <w:b w:val="0"/>
          <w:sz w:val="32"/>
        </w:rPr>
        <w:t>其中：年末财政拨款结转和结余0.00万元，本年财政拨款支出8,855.67万元。</w:t>
      </w:r>
    </w:p>
    <w:p w14:paraId="53E6789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605.92万元，增长7.34%，主要原因是：本年在职人员工资调增，社保、公积金基数调增，人员经费增加，本年增加援疆干部人才南疆工作补贴资金项目，义务教育补助支出、普通高中补助经费项目资金较上年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年初预算数7,488.89万元，决算数8,855.67万元，预决算差异率18.25%，主要原因是：本年在职人员工资调薪，社保基数调整等相关人员经费增加，年中追加人员经费，年中追加援疆干部人才南疆工作补贴资金项目</w:t>
      </w:r>
      <w:r>
        <w:rPr>
          <w:rFonts w:hint="eastAsia" w:ascii="仿宋_GB2312" w:hAnsi="仿宋_GB2312" w:eastAsia="仿宋_GB2312"/>
          <w:b w:val="0"/>
          <w:sz w:val="32"/>
          <w:lang w:eastAsia="zh-CN"/>
        </w:rPr>
        <w:t>、</w:t>
      </w:r>
      <w:r>
        <w:rPr>
          <w:rFonts w:ascii="仿宋_GB2312" w:hAnsi="仿宋_GB2312" w:eastAsia="仿宋_GB2312"/>
          <w:b w:val="0"/>
          <w:sz w:val="32"/>
        </w:rPr>
        <w:t>义务教育补助支出、普通高中补助经费项目资金等项目经费，导致预决算存在差异。</w:t>
      </w:r>
    </w:p>
    <w:p w14:paraId="06F9D2A7">
      <w:pPr>
        <w:spacing w:line="640" w:lineRule="exact"/>
        <w:ind w:firstLine="640"/>
        <w:jc w:val="both"/>
        <w:outlineLvl w:val="2"/>
      </w:pPr>
      <w:r>
        <w:rPr>
          <w:rFonts w:ascii="黑体" w:hAnsi="黑体" w:eastAsia="黑体"/>
          <w:sz w:val="32"/>
        </w:rPr>
        <w:t>五、一般公共预算财政拨款支出决算情况说明</w:t>
      </w:r>
    </w:p>
    <w:p w14:paraId="147FD37B">
      <w:pPr>
        <w:spacing w:line="640" w:lineRule="exact"/>
        <w:ind w:firstLine="640"/>
        <w:jc w:val="both"/>
        <w:outlineLvl w:val="3"/>
      </w:pPr>
      <w:r>
        <w:rPr>
          <w:rFonts w:ascii="楷体_GB2312" w:hAnsi="楷体_GB2312" w:eastAsia="楷体_GB2312"/>
          <w:b/>
          <w:sz w:val="32"/>
        </w:rPr>
        <w:t>（一）一般公共预算财政拨款支出决算总体情况</w:t>
      </w:r>
    </w:p>
    <w:p w14:paraId="059DD72F">
      <w:pPr>
        <w:spacing w:line="580" w:lineRule="exact"/>
        <w:ind w:firstLine="640"/>
        <w:jc w:val="both"/>
      </w:pPr>
      <w:r>
        <w:rPr>
          <w:rFonts w:ascii="仿宋_GB2312" w:hAnsi="仿宋_GB2312" w:eastAsia="仿宋_GB2312"/>
          <w:b/>
          <w:sz w:val="32"/>
        </w:rPr>
        <w:t>2024年度一般公共预算财政拨款支出8,855.67万元，</w:t>
      </w:r>
      <w:r>
        <w:rPr>
          <w:rFonts w:ascii="仿宋_GB2312" w:hAnsi="仿宋_GB2312" w:eastAsia="仿宋_GB2312"/>
          <w:b w:val="0"/>
          <w:sz w:val="32"/>
        </w:rPr>
        <w:t>占本年支出合计的99.74%。</w:t>
      </w:r>
      <w:r>
        <w:rPr>
          <w:rFonts w:ascii="仿宋_GB2312" w:hAnsi="仿宋_GB2312" w:eastAsia="仿宋_GB2312"/>
          <w:b/>
          <w:sz w:val="32"/>
        </w:rPr>
        <w:t>与上年相比，</w:t>
      </w:r>
      <w:r>
        <w:rPr>
          <w:rFonts w:ascii="仿宋_GB2312" w:hAnsi="仿宋_GB2312" w:eastAsia="仿宋_GB2312"/>
          <w:b w:val="0"/>
          <w:sz w:val="32"/>
        </w:rPr>
        <w:t>增加605.92万元，增长7.34%，主要原因是：本年在职人员工资调增，社保、公积金基数调增，人员经费增加，本年增加援疆干部人才南疆工作补贴资金项目，义务教育补助支出、普通高中补助经费项目资金较上年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年初预算数7,488.89万元，决算数8,855.67万元，预决算差异率18.25%，主要原因是：本年在职人员工资调薪，社保基数调整等相关人员经费增加，年中追加人员经费，年中追加援疆干部人才南疆工作补贴资金项目</w:t>
      </w:r>
      <w:r>
        <w:rPr>
          <w:rFonts w:hint="eastAsia" w:ascii="仿宋_GB2312" w:hAnsi="仿宋_GB2312" w:eastAsia="仿宋_GB2312"/>
          <w:b w:val="0"/>
          <w:sz w:val="32"/>
          <w:lang w:eastAsia="zh-CN"/>
        </w:rPr>
        <w:t>、</w:t>
      </w:r>
      <w:r>
        <w:rPr>
          <w:rFonts w:ascii="仿宋_GB2312" w:hAnsi="仿宋_GB2312" w:eastAsia="仿宋_GB2312"/>
          <w:b w:val="0"/>
          <w:sz w:val="32"/>
        </w:rPr>
        <w:t>义务教育补助支出、普通高中补助经费项目资金等项目经费，导致预决算存在差异。</w:t>
      </w:r>
    </w:p>
    <w:p w14:paraId="31172521">
      <w:pPr>
        <w:spacing w:line="640" w:lineRule="exact"/>
        <w:ind w:firstLine="640"/>
        <w:jc w:val="both"/>
        <w:outlineLvl w:val="3"/>
      </w:pPr>
      <w:r>
        <w:rPr>
          <w:rFonts w:ascii="楷体_GB2312" w:hAnsi="楷体_GB2312" w:eastAsia="楷体_GB2312"/>
          <w:b/>
          <w:sz w:val="32"/>
        </w:rPr>
        <w:t>（二）一般公共预算财政拨款支出决算结构情况</w:t>
      </w:r>
    </w:p>
    <w:p w14:paraId="5DEE423B">
      <w:pPr>
        <w:spacing w:line="580" w:lineRule="exact"/>
        <w:ind w:firstLine="640"/>
        <w:jc w:val="both"/>
      </w:pPr>
      <w:r>
        <w:rPr>
          <w:rFonts w:ascii="仿宋_GB2312" w:hAnsi="仿宋_GB2312" w:eastAsia="仿宋_GB2312"/>
          <w:b w:val="0"/>
          <w:sz w:val="32"/>
        </w:rPr>
        <w:t>1.一般公共服务支出(类)18.83万元,占0.21%。</w:t>
      </w:r>
    </w:p>
    <w:p w14:paraId="685AC36A">
      <w:pPr>
        <w:spacing w:line="580" w:lineRule="exact"/>
        <w:ind w:firstLine="640"/>
        <w:jc w:val="both"/>
      </w:pPr>
      <w:r>
        <w:rPr>
          <w:rFonts w:ascii="仿宋_GB2312" w:hAnsi="仿宋_GB2312" w:eastAsia="仿宋_GB2312"/>
          <w:b w:val="0"/>
          <w:sz w:val="32"/>
        </w:rPr>
        <w:t>2.教育支出(类)8,836.84万元,占99.79%。</w:t>
      </w:r>
    </w:p>
    <w:p w14:paraId="3160FB2F">
      <w:pPr>
        <w:spacing w:line="640" w:lineRule="exact"/>
        <w:ind w:firstLine="640"/>
        <w:jc w:val="both"/>
        <w:outlineLvl w:val="3"/>
      </w:pPr>
      <w:r>
        <w:rPr>
          <w:rFonts w:ascii="楷体_GB2312" w:hAnsi="楷体_GB2312" w:eastAsia="楷体_GB2312"/>
          <w:b/>
          <w:sz w:val="32"/>
        </w:rPr>
        <w:t>（三）一般公共预算财政拨款支出决算具体情况</w:t>
      </w:r>
    </w:p>
    <w:p w14:paraId="716F260A">
      <w:pPr>
        <w:spacing w:line="580" w:lineRule="exact"/>
        <w:ind w:firstLine="640"/>
        <w:jc w:val="both"/>
      </w:pPr>
      <w:r>
        <w:rPr>
          <w:rFonts w:ascii="仿宋_GB2312" w:hAnsi="仿宋_GB2312" w:eastAsia="仿宋_GB2312"/>
          <w:b w:val="0"/>
          <w:sz w:val="32"/>
        </w:rPr>
        <w:t>1.一般公共服务支出(类)组织事务(款)其他组织事务支出(项):支出决算数为18.83万元，比上年决算增加18.83万元，增长100.00%,主要原因是：本年增加江西援疆干部工资项目经费，相应支出增加。</w:t>
      </w:r>
    </w:p>
    <w:p w14:paraId="4C7CAB51">
      <w:pPr>
        <w:spacing w:line="580" w:lineRule="exact"/>
        <w:ind w:firstLine="640"/>
        <w:jc w:val="both"/>
      </w:pPr>
      <w:r>
        <w:rPr>
          <w:rFonts w:ascii="仿宋_GB2312" w:hAnsi="仿宋_GB2312" w:eastAsia="仿宋_GB2312"/>
          <w:b w:val="0"/>
          <w:sz w:val="32"/>
        </w:rPr>
        <w:t>2.教育支出(类)普通教育(款)初中教育(项):支出决算数为8,201.68万元，比上年决算增加1,150.78万元，增长16.32%,主要原因是：本年在职人员工资调薪，相关人员经费增加；本年功能科目调整，职业年金缴费、养老保险缴费上年度单独列支，本年调整至本科目列支，导致经费较上年增加。</w:t>
      </w:r>
    </w:p>
    <w:p w14:paraId="233ADBE8">
      <w:pPr>
        <w:spacing w:line="580" w:lineRule="exact"/>
        <w:ind w:firstLine="640"/>
        <w:jc w:val="both"/>
      </w:pPr>
      <w:r>
        <w:rPr>
          <w:rFonts w:ascii="仿宋_GB2312" w:hAnsi="仿宋_GB2312" w:eastAsia="仿宋_GB2312"/>
          <w:b w:val="0"/>
          <w:sz w:val="32"/>
        </w:rPr>
        <w:t>3.教育支出(类)普通教育(款)高中教育(项):支出决算数为635.16万元，比上年决算增加103.74万元，增长19.52%,主要原因是：本年普通高中补助经费项目资金较上年增加，导致经费较上年增加。</w:t>
      </w:r>
    </w:p>
    <w:p w14:paraId="36D2DED0">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0.00万元，比上年决算减少662.99万元，下降100.00%,主要原因是：本年功能科目调整，养老保险缴费上年度单独列支，本年调整至主科目列支，导致经费较上年减少。</w:t>
      </w:r>
    </w:p>
    <w:p w14:paraId="142F2A49">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4.45万元，下降100.00%,主要原因是：本年功能科目调整，机关事业单位职业年金缴费上年度单独列支，本年调整至主科目列支，导致经费较上年减少。</w:t>
      </w:r>
    </w:p>
    <w:p w14:paraId="6B341CFE">
      <w:pPr>
        <w:spacing w:line="640" w:lineRule="exact"/>
        <w:ind w:firstLine="640"/>
        <w:jc w:val="both"/>
        <w:outlineLvl w:val="2"/>
      </w:pPr>
      <w:r>
        <w:rPr>
          <w:rFonts w:ascii="黑体" w:hAnsi="黑体" w:eastAsia="黑体"/>
          <w:sz w:val="32"/>
        </w:rPr>
        <w:t>六、一般公共预算财政拨款基本支出决算情况说明</w:t>
      </w:r>
    </w:p>
    <w:p w14:paraId="1C69E469">
      <w:pPr>
        <w:spacing w:line="580" w:lineRule="exact"/>
        <w:ind w:firstLine="640"/>
        <w:jc w:val="both"/>
      </w:pPr>
      <w:r>
        <w:rPr>
          <w:rFonts w:ascii="仿宋_GB2312" w:hAnsi="仿宋_GB2312" w:eastAsia="仿宋_GB2312"/>
          <w:b w:val="0"/>
          <w:sz w:val="32"/>
        </w:rPr>
        <w:t>2024年度一般公共预算财政拨款基本支出7,533.47万元，其中：</w:t>
      </w:r>
      <w:r>
        <w:rPr>
          <w:rFonts w:ascii="仿宋_GB2312" w:hAnsi="仿宋_GB2312" w:eastAsia="仿宋_GB2312"/>
          <w:b/>
          <w:sz w:val="32"/>
        </w:rPr>
        <w:t>人员经费7,453.37万元，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14:paraId="4A1F2BBB">
      <w:pPr>
        <w:spacing w:line="580" w:lineRule="exact"/>
        <w:ind w:firstLine="640"/>
        <w:jc w:val="both"/>
      </w:pPr>
      <w:r>
        <w:rPr>
          <w:rFonts w:ascii="仿宋_GB2312" w:hAnsi="仿宋_GB2312" w:eastAsia="仿宋_GB2312"/>
          <w:b/>
          <w:sz w:val="32"/>
        </w:rPr>
        <w:t>公用经费80.10万元，</w:t>
      </w:r>
      <w:r>
        <w:rPr>
          <w:rFonts w:ascii="仿宋_GB2312" w:hAnsi="仿宋_GB2312" w:eastAsia="仿宋_GB2312"/>
          <w:b w:val="0"/>
          <w:sz w:val="32"/>
        </w:rPr>
        <w:t>包括：取暖费。</w:t>
      </w:r>
    </w:p>
    <w:p w14:paraId="50DC5DC6">
      <w:pPr>
        <w:spacing w:line="640" w:lineRule="exact"/>
        <w:ind w:firstLine="640"/>
        <w:jc w:val="both"/>
        <w:outlineLvl w:val="2"/>
      </w:pPr>
      <w:r>
        <w:rPr>
          <w:rFonts w:ascii="黑体" w:hAnsi="黑体" w:eastAsia="黑体"/>
          <w:sz w:val="32"/>
        </w:rPr>
        <w:t>七、政府性基金预算财政拨款收入支出决算情况说明</w:t>
      </w:r>
    </w:p>
    <w:p w14:paraId="21299E7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F5DB734">
      <w:pPr>
        <w:spacing w:line="640" w:lineRule="exact"/>
        <w:ind w:firstLine="640"/>
        <w:jc w:val="both"/>
        <w:outlineLvl w:val="2"/>
      </w:pPr>
      <w:r>
        <w:rPr>
          <w:rFonts w:ascii="黑体" w:hAnsi="黑体" w:eastAsia="黑体"/>
          <w:sz w:val="32"/>
        </w:rPr>
        <w:t>八、国有资本经营预算财政拨款收入支出决算情况说明</w:t>
      </w:r>
    </w:p>
    <w:p w14:paraId="3D71DB7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BD079DA">
      <w:pPr>
        <w:spacing w:line="640" w:lineRule="exact"/>
        <w:ind w:firstLine="640"/>
        <w:jc w:val="both"/>
        <w:outlineLvl w:val="2"/>
      </w:pPr>
      <w:r>
        <w:rPr>
          <w:rFonts w:ascii="黑体" w:hAnsi="黑体" w:eastAsia="黑体"/>
          <w:sz w:val="32"/>
        </w:rPr>
        <w:t>九、财政拨款“三公”经费支出决算情况说明</w:t>
      </w:r>
    </w:p>
    <w:p w14:paraId="69B290B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FCEFCC2">
      <w:pPr>
        <w:spacing w:line="580" w:lineRule="exact"/>
        <w:ind w:firstLine="640"/>
        <w:jc w:val="both"/>
      </w:pPr>
      <w:r>
        <w:rPr>
          <w:rFonts w:ascii="仿宋_GB2312" w:hAnsi="仿宋_GB2312" w:eastAsia="仿宋_GB2312"/>
          <w:b/>
          <w:sz w:val="32"/>
        </w:rPr>
        <w:t>具体情况如下：</w:t>
      </w:r>
    </w:p>
    <w:p w14:paraId="78B3017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301E3E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B715FE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D75C7D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C62DABF">
      <w:pPr>
        <w:spacing w:line="640" w:lineRule="exact"/>
        <w:ind w:firstLine="640"/>
        <w:jc w:val="both"/>
        <w:outlineLvl w:val="2"/>
      </w:pPr>
      <w:r>
        <w:rPr>
          <w:rFonts w:ascii="黑体" w:hAnsi="黑体" w:eastAsia="黑体"/>
          <w:sz w:val="32"/>
        </w:rPr>
        <w:t>十、其他重要事项的情况说明</w:t>
      </w:r>
    </w:p>
    <w:p w14:paraId="3C2E233C">
      <w:pPr>
        <w:spacing w:line="640" w:lineRule="exact"/>
        <w:ind w:firstLine="640"/>
        <w:jc w:val="both"/>
        <w:outlineLvl w:val="3"/>
      </w:pPr>
      <w:r>
        <w:rPr>
          <w:rFonts w:ascii="楷体_GB2312" w:hAnsi="楷体_GB2312" w:eastAsia="楷体_GB2312"/>
          <w:b/>
          <w:sz w:val="32"/>
        </w:rPr>
        <w:t>（一）机关运行经费及公用经费支出情况</w:t>
      </w:r>
    </w:p>
    <w:p w14:paraId="4CADF147">
      <w:pPr>
        <w:spacing w:line="580" w:lineRule="exact"/>
        <w:ind w:firstLine="640"/>
        <w:jc w:val="both"/>
      </w:pPr>
      <w:r>
        <w:rPr>
          <w:rFonts w:ascii="仿宋_GB2312" w:hAnsi="仿宋_GB2312" w:eastAsia="仿宋_GB2312"/>
          <w:b w:val="0"/>
          <w:sz w:val="32"/>
        </w:rPr>
        <w:t>2024年度阿克陶县雪松中学（事业单位）公用经费支出80.10万元，比上年增加80.10万元，增长100.00%，主要原因是：本年取暖费由项目列支调整至</w:t>
      </w:r>
      <w:r>
        <w:rPr>
          <w:rFonts w:hint="eastAsia" w:ascii="仿宋_GB2312" w:hAnsi="仿宋_GB2312" w:eastAsia="仿宋_GB2312"/>
          <w:b w:val="0"/>
          <w:sz w:val="32"/>
          <w:lang w:val="en-US" w:eastAsia="zh-CN"/>
        </w:rPr>
        <w:t>基本支出中</w:t>
      </w:r>
      <w:bookmarkStart w:id="0" w:name="_GoBack"/>
      <w:bookmarkEnd w:id="0"/>
      <w:r>
        <w:rPr>
          <w:rFonts w:ascii="仿宋_GB2312" w:hAnsi="仿宋_GB2312" w:eastAsia="仿宋_GB2312"/>
          <w:b w:val="0"/>
          <w:sz w:val="32"/>
        </w:rPr>
        <w:t>公用经费支出，相应支出增加。</w:t>
      </w:r>
    </w:p>
    <w:p w14:paraId="798C7E47">
      <w:pPr>
        <w:spacing w:line="640" w:lineRule="exact"/>
        <w:ind w:firstLine="640"/>
        <w:jc w:val="both"/>
        <w:outlineLvl w:val="3"/>
      </w:pPr>
      <w:r>
        <w:rPr>
          <w:rFonts w:ascii="楷体_GB2312" w:hAnsi="楷体_GB2312" w:eastAsia="楷体_GB2312"/>
          <w:b/>
          <w:sz w:val="32"/>
        </w:rPr>
        <w:t>（二）政府采购情况</w:t>
      </w:r>
    </w:p>
    <w:p w14:paraId="4DF91E98">
      <w:pPr>
        <w:spacing w:line="580" w:lineRule="exact"/>
        <w:ind w:firstLine="640"/>
        <w:jc w:val="both"/>
      </w:pPr>
      <w:r>
        <w:rPr>
          <w:rFonts w:ascii="仿宋_GB2312" w:hAnsi="仿宋_GB2312" w:eastAsia="仿宋_GB2312"/>
          <w:b w:val="0"/>
          <w:sz w:val="32"/>
        </w:rPr>
        <w:t>2024年度政府采购支出总额9.68万元，其中：政府采购货物支出7.63万元、政府采购工程支出0.00万元、政府采购服务支出2.05万元。</w:t>
      </w:r>
    </w:p>
    <w:p w14:paraId="1674E0D5">
      <w:pPr>
        <w:spacing w:line="580" w:lineRule="exact"/>
        <w:ind w:firstLine="640"/>
        <w:jc w:val="both"/>
      </w:pPr>
      <w:r>
        <w:rPr>
          <w:rFonts w:ascii="仿宋_GB2312" w:hAnsi="仿宋_GB2312" w:eastAsia="仿宋_GB2312"/>
          <w:b w:val="0"/>
          <w:sz w:val="32"/>
        </w:rPr>
        <w:t>授予中小企业合同金额8.59万元，占政府采购支出总额的88.74%，其中：授予小微企业合同金额8.08万元，占政府采购支出总额的83.47%。</w:t>
      </w:r>
    </w:p>
    <w:p w14:paraId="44CB9AB9">
      <w:pPr>
        <w:spacing w:line="640" w:lineRule="exact"/>
        <w:ind w:firstLine="640"/>
        <w:jc w:val="both"/>
        <w:outlineLvl w:val="3"/>
      </w:pPr>
      <w:r>
        <w:rPr>
          <w:rFonts w:ascii="楷体_GB2312" w:hAnsi="楷体_GB2312" w:eastAsia="楷体_GB2312"/>
          <w:b/>
          <w:sz w:val="32"/>
        </w:rPr>
        <w:t>（三）国有资产占用情况说明</w:t>
      </w:r>
    </w:p>
    <w:p w14:paraId="50B1246D">
      <w:pPr>
        <w:spacing w:line="580" w:lineRule="exact"/>
        <w:ind w:firstLine="640"/>
        <w:jc w:val="both"/>
      </w:pPr>
      <w:r>
        <w:rPr>
          <w:rFonts w:ascii="仿宋_GB2312" w:hAnsi="仿宋_GB2312" w:eastAsia="仿宋_GB2312"/>
          <w:b w:val="0"/>
          <w:sz w:val="32"/>
        </w:rPr>
        <w:t>截至2024年12月31日，房屋44,807.60平方米，价值6,209.30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284AA7E">
      <w:pPr>
        <w:spacing w:line="640" w:lineRule="exact"/>
        <w:ind w:firstLine="640"/>
        <w:jc w:val="both"/>
        <w:outlineLvl w:val="2"/>
      </w:pPr>
      <w:r>
        <w:rPr>
          <w:rFonts w:ascii="黑体" w:hAnsi="黑体" w:eastAsia="黑体"/>
          <w:sz w:val="32"/>
        </w:rPr>
        <w:t>十一、预算绩效的情况说明</w:t>
      </w:r>
    </w:p>
    <w:p w14:paraId="557211B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8,894.41万元，实际执行总额8,878.77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4BF0E45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8E6E1EF">
        <w:tblPrEx>
          <w:tblCellMar>
            <w:top w:w="0" w:type="dxa"/>
            <w:left w:w="108" w:type="dxa"/>
            <w:bottom w:w="0" w:type="dxa"/>
            <w:right w:w="108" w:type="dxa"/>
          </w:tblCellMar>
        </w:tblPrEx>
        <w:tc>
          <w:tcPr>
            <w:tcW w:w="8840" w:type="dxa"/>
            <w:gridSpan w:val="8"/>
            <w:vAlign w:val="center"/>
          </w:tcPr>
          <w:p w14:paraId="5D8AD099">
            <w:pPr>
              <w:jc w:val="center"/>
            </w:pPr>
            <w:r>
              <w:rPr>
                <w:rFonts w:ascii="宋体" w:hAnsi="宋体" w:eastAsia="宋体"/>
                <w:sz w:val="24"/>
              </w:rPr>
              <w:t>单位整体支出绩效自评表</w:t>
            </w:r>
          </w:p>
        </w:tc>
      </w:tr>
      <w:tr w14:paraId="1DAAEC29">
        <w:tblPrEx>
          <w:tblCellMar>
            <w:top w:w="0" w:type="dxa"/>
            <w:left w:w="108" w:type="dxa"/>
            <w:bottom w:w="0" w:type="dxa"/>
            <w:right w:w="108" w:type="dxa"/>
          </w:tblCellMar>
        </w:tblPrEx>
        <w:tc>
          <w:tcPr>
            <w:tcW w:w="8840" w:type="dxa"/>
            <w:gridSpan w:val="8"/>
            <w:vAlign w:val="center"/>
          </w:tcPr>
          <w:p w14:paraId="5A08D150">
            <w:pPr>
              <w:jc w:val="center"/>
            </w:pPr>
            <w:r>
              <w:rPr>
                <w:rFonts w:ascii="宋体" w:hAnsi="宋体" w:eastAsia="宋体"/>
                <w:sz w:val="24"/>
              </w:rPr>
              <w:t>（2024年度）</w:t>
            </w:r>
          </w:p>
        </w:tc>
      </w:tr>
      <w:tr w14:paraId="4A6B57E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D970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540E9A">
            <w:pPr>
              <w:jc w:val="center"/>
            </w:pPr>
            <w:r>
              <w:rPr>
                <w:rFonts w:ascii="宋体" w:hAnsi="宋体" w:eastAsia="宋体"/>
                <w:sz w:val="16"/>
              </w:rPr>
              <w:t>阿克陶县雪松中学</w:t>
            </w:r>
          </w:p>
        </w:tc>
      </w:tr>
      <w:tr w14:paraId="4444871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6DB5E">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28C1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8F6E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EF342">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85DA8">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3EC0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6B74D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F2981E">
            <w:pPr>
              <w:jc w:val="center"/>
            </w:pPr>
            <w:r>
              <w:rPr>
                <w:rFonts w:ascii="宋体" w:hAnsi="宋体" w:eastAsia="宋体"/>
                <w:sz w:val="16"/>
              </w:rPr>
              <w:t>得分</w:t>
            </w:r>
          </w:p>
        </w:tc>
      </w:tr>
      <w:tr w14:paraId="0C63D80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9A1E3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1D92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3F1BD">
            <w:pPr>
              <w:jc w:val="center"/>
            </w:pPr>
            <w:r>
              <w:rPr>
                <w:rFonts w:ascii="宋体" w:hAnsi="宋体" w:eastAsia="宋体"/>
                <w:sz w:val="16"/>
              </w:rPr>
              <w:t>7,469.69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9504F3">
            <w:pPr>
              <w:jc w:val="center"/>
            </w:pPr>
            <w:r>
              <w:rPr>
                <w:rFonts w:ascii="宋体" w:hAnsi="宋体" w:eastAsia="宋体"/>
                <w:sz w:val="16"/>
              </w:rPr>
              <w:t>8,894.41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2F7D0">
            <w:pPr>
              <w:jc w:val="center"/>
            </w:pPr>
            <w:r>
              <w:rPr>
                <w:rFonts w:ascii="宋体" w:hAnsi="宋体" w:eastAsia="宋体"/>
                <w:sz w:val="16"/>
              </w:rPr>
              <w:t>8,878.77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8CBBD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22FA8D">
            <w:pPr>
              <w:jc w:val="center"/>
            </w:pPr>
            <w:r>
              <w:rPr>
                <w:rFonts w:ascii="宋体" w:hAnsi="宋体" w:eastAsia="宋体"/>
                <w:sz w:val="16"/>
              </w:rPr>
              <w:t>99.82%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EE186A">
            <w:pPr>
              <w:jc w:val="center"/>
            </w:pPr>
            <w:r>
              <w:rPr>
                <w:rFonts w:ascii="宋体" w:hAnsi="宋体" w:eastAsia="宋体"/>
                <w:sz w:val="16"/>
              </w:rPr>
              <w:t>9.98</w:t>
            </w:r>
          </w:p>
        </w:tc>
      </w:tr>
      <w:tr w14:paraId="16F73E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65283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54B2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C08A6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067F5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1CCB5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6442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C9233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69286">
            <w:pPr>
              <w:jc w:val="center"/>
            </w:pPr>
            <w:r>
              <w:rPr>
                <w:rFonts w:ascii="宋体" w:hAnsi="宋体" w:eastAsia="宋体"/>
                <w:sz w:val="16"/>
              </w:rPr>
              <w:t>—</w:t>
            </w:r>
          </w:p>
        </w:tc>
      </w:tr>
      <w:tr w14:paraId="3B1A6F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487F6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6C8FAE">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11935">
            <w:pPr>
              <w:jc w:val="center"/>
            </w:pPr>
            <w:r>
              <w:rPr>
                <w:rFonts w:ascii="宋体" w:hAnsi="宋体" w:eastAsia="宋体"/>
                <w:sz w:val="16"/>
              </w:rPr>
              <w:t>7,469.69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F9F19">
            <w:pPr>
              <w:jc w:val="center"/>
            </w:pPr>
            <w:r>
              <w:rPr>
                <w:rFonts w:ascii="宋体" w:hAnsi="宋体" w:eastAsia="宋体"/>
                <w:sz w:val="16"/>
              </w:rPr>
              <w:t>8,894.41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E37B2">
            <w:pPr>
              <w:jc w:val="center"/>
            </w:pPr>
            <w:r>
              <w:rPr>
                <w:rFonts w:ascii="宋体" w:hAnsi="宋体" w:eastAsia="宋体"/>
                <w:sz w:val="16"/>
              </w:rPr>
              <w:t>8,878.77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A292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D3EE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5D593B">
            <w:pPr>
              <w:jc w:val="center"/>
            </w:pPr>
            <w:r>
              <w:rPr>
                <w:rFonts w:ascii="宋体" w:hAnsi="宋体" w:eastAsia="宋体"/>
                <w:sz w:val="16"/>
              </w:rPr>
              <w:t>—</w:t>
            </w:r>
          </w:p>
        </w:tc>
      </w:tr>
      <w:tr w14:paraId="73F0D66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8B22B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327C2">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2214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E751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2121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082A8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3317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8514FB">
            <w:pPr>
              <w:jc w:val="center"/>
            </w:pPr>
            <w:r>
              <w:rPr>
                <w:rFonts w:ascii="宋体" w:hAnsi="宋体" w:eastAsia="宋体"/>
                <w:sz w:val="16"/>
              </w:rPr>
              <w:t>—</w:t>
            </w:r>
          </w:p>
        </w:tc>
      </w:tr>
      <w:tr w14:paraId="44349E1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0395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E6B11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38572D">
            <w:pPr>
              <w:jc w:val="center"/>
            </w:pPr>
            <w:r>
              <w:rPr>
                <w:rFonts w:ascii="宋体" w:hAnsi="宋体" w:eastAsia="宋体"/>
                <w:sz w:val="16"/>
              </w:rPr>
              <w:t>实际完成情况</w:t>
            </w:r>
          </w:p>
        </w:tc>
      </w:tr>
      <w:tr w14:paraId="62A976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BD576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F56AFB">
            <w:pPr>
              <w:jc w:val="both"/>
            </w:pPr>
            <w:r>
              <w:rPr>
                <w:rFonts w:ascii="宋体" w:hAnsi="宋体" w:eastAsia="宋体"/>
                <w:sz w:val="16"/>
              </w:rPr>
              <w:t>确保在职人员的工资、津贴、补贴、社保、医保、公积金等以及离退休人员的工资、医疗费，长期临聘人员生活补助、援疆干部及遗属人员生活补助等人员保障性经费能够依规、按时、足额发放或缴纳，提升部门人员工作积极性和服务质量；保障部门日常运转，为部门正常履职和开展综合性事务管理提供有效支撑。认真编制年度预算，严格落实各项政策。</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A217BB">
            <w:pPr>
              <w:jc w:val="both"/>
            </w:pPr>
            <w:r>
              <w:rPr>
                <w:rFonts w:ascii="宋体" w:hAnsi="宋体" w:eastAsia="宋体"/>
                <w:sz w:val="16"/>
              </w:rPr>
              <w:t>确保了人员工资福利支出保障人数333人，依规、按时、足额发放或缴纳，在校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41D28A3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79FE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A75E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BDA0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B1897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8F62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96E09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79C6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7642C">
            <w:pPr>
              <w:jc w:val="center"/>
            </w:pPr>
            <w:r>
              <w:rPr>
                <w:rFonts w:ascii="宋体" w:hAnsi="宋体" w:eastAsia="宋体"/>
                <w:sz w:val="16"/>
              </w:rPr>
              <w:t>得分</w:t>
            </w:r>
          </w:p>
        </w:tc>
      </w:tr>
      <w:tr w14:paraId="6A60EC6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5F5C0">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CB0A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2FAA5">
            <w:pPr>
              <w:jc w:val="center"/>
            </w:pPr>
            <w:r>
              <w:rPr>
                <w:rFonts w:ascii="宋体" w:hAnsi="宋体" w:eastAsia="宋体"/>
                <w:sz w:val="16"/>
              </w:rPr>
              <w:t>人员工资福利支出保障人数（人）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36F484">
            <w:pPr>
              <w:jc w:val="center"/>
            </w:pPr>
            <w:r>
              <w:rPr>
                <w:rFonts w:ascii="宋体" w:hAnsi="宋体" w:eastAsia="宋体"/>
                <w:sz w:val="16"/>
              </w:rPr>
              <w:t>&gt;=333人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17019">
            <w:pPr>
              <w:jc w:val="center"/>
            </w:pPr>
            <w:r>
              <w:rPr>
                <w:rFonts w:ascii="宋体" w:hAnsi="宋体" w:eastAsia="宋体"/>
                <w:sz w:val="16"/>
              </w:rPr>
              <w:t>上年末工资汇总表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56AE1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7DA06">
            <w:pPr>
              <w:jc w:val="center"/>
            </w:pPr>
            <w:r>
              <w:rPr>
                <w:rFonts w:ascii="宋体" w:hAnsi="宋体" w:eastAsia="宋体"/>
                <w:sz w:val="16"/>
              </w:rPr>
              <w:t>333人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D0994">
            <w:pPr>
              <w:jc w:val="center"/>
            </w:pPr>
            <w:r>
              <w:rPr>
                <w:rFonts w:ascii="宋体" w:hAnsi="宋体" w:eastAsia="宋体"/>
                <w:sz w:val="16"/>
              </w:rPr>
              <w:t>10</w:t>
            </w:r>
          </w:p>
        </w:tc>
      </w:tr>
      <w:tr w14:paraId="0B3444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35C5D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39610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9B8E1">
            <w:pPr>
              <w:jc w:val="center"/>
            </w:pPr>
            <w:r>
              <w:rPr>
                <w:rFonts w:ascii="宋体" w:hAnsi="宋体" w:eastAsia="宋体"/>
                <w:sz w:val="16"/>
              </w:rPr>
              <w:t>人员保障性</w:t>
            </w:r>
            <w:r>
              <w:rPr>
                <w:rFonts w:hint="eastAsia" w:ascii="宋体" w:hAnsi="宋体"/>
                <w:sz w:val="16"/>
                <w:lang w:eastAsia="zh-CN"/>
              </w:rPr>
              <w:t>资金</w:t>
            </w:r>
            <w:r>
              <w:rPr>
                <w:rFonts w:ascii="宋体" w:hAnsi="宋体" w:eastAsia="宋体"/>
                <w:sz w:val="16"/>
              </w:rPr>
              <w:t>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0762F9">
            <w:pPr>
              <w:jc w:val="center"/>
            </w:pPr>
            <w:r>
              <w:rPr>
                <w:rFonts w:ascii="宋体" w:hAnsi="宋体" w:eastAsia="宋体"/>
                <w:sz w:val="16"/>
              </w:rPr>
              <w:t>&lt;=7300.41万元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1E771">
            <w:pPr>
              <w:jc w:val="center"/>
            </w:pPr>
            <w:r>
              <w:rPr>
                <w:rFonts w:ascii="宋体" w:hAnsi="宋体" w:eastAsia="宋体"/>
                <w:sz w:val="16"/>
              </w:rPr>
              <w:t>县人大会议预算批复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B4DE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9544B5">
            <w:pPr>
              <w:jc w:val="center"/>
            </w:pPr>
            <w:r>
              <w:rPr>
                <w:rFonts w:ascii="宋体" w:hAnsi="宋体" w:eastAsia="宋体"/>
                <w:sz w:val="16"/>
              </w:rPr>
              <w:t>7453.37万元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B5B45B">
            <w:pPr>
              <w:jc w:val="center"/>
            </w:pPr>
            <w:r>
              <w:rPr>
                <w:rFonts w:ascii="宋体" w:hAnsi="宋体" w:eastAsia="宋体"/>
                <w:sz w:val="16"/>
              </w:rPr>
              <w:t>14.69</w:t>
            </w:r>
          </w:p>
        </w:tc>
      </w:tr>
      <w:tr w14:paraId="1B7EE0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BD47D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8D5EF">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AAC44">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F09A0">
            <w:pPr>
              <w:jc w:val="center"/>
            </w:pPr>
            <w:r>
              <w:rPr>
                <w:rFonts w:ascii="宋体" w:hAnsi="宋体" w:eastAsia="宋体"/>
                <w:sz w:val="16"/>
              </w:rPr>
              <w:t>&lt;=169.28万元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8DE78F">
            <w:pPr>
              <w:jc w:val="center"/>
            </w:pPr>
            <w:r>
              <w:rPr>
                <w:rFonts w:ascii="宋体" w:hAnsi="宋体" w:eastAsia="宋体"/>
                <w:sz w:val="16"/>
              </w:rPr>
              <w:t>县人大会议预算批复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15B8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2455D">
            <w:pPr>
              <w:jc w:val="center"/>
            </w:pPr>
            <w:r>
              <w:rPr>
                <w:rFonts w:ascii="宋体" w:hAnsi="宋体" w:eastAsia="宋体"/>
                <w:sz w:val="16"/>
              </w:rPr>
              <w:t>80.1万元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185A2">
            <w:pPr>
              <w:jc w:val="center"/>
            </w:pPr>
            <w:r>
              <w:rPr>
                <w:rFonts w:ascii="宋体" w:hAnsi="宋体" w:eastAsia="宋体"/>
                <w:sz w:val="16"/>
              </w:rPr>
              <w:t>7.1</w:t>
            </w:r>
          </w:p>
        </w:tc>
      </w:tr>
      <w:tr w14:paraId="23B604E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9692E">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DB5FA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BE6BC">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BB919">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44351C">
            <w:pPr>
              <w:jc w:val="center"/>
            </w:pPr>
            <w:r>
              <w:rPr>
                <w:rFonts w:ascii="宋体" w:hAnsi="宋体" w:eastAsia="宋体"/>
                <w:sz w:val="16"/>
              </w:rPr>
              <w:t>地方财政部门文件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39E0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65C3DB">
            <w:pPr>
              <w:jc w:val="center"/>
            </w:pPr>
            <w:r>
              <w:rPr>
                <w:rFonts w:ascii="宋体" w:hAnsi="宋体" w:eastAsia="宋体"/>
                <w:sz w:val="16"/>
              </w:rPr>
              <w:t>112.1%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C12F83">
            <w:pPr>
              <w:jc w:val="center"/>
            </w:pPr>
            <w:r>
              <w:rPr>
                <w:rFonts w:ascii="宋体" w:hAnsi="宋体" w:eastAsia="宋体"/>
                <w:sz w:val="16"/>
              </w:rPr>
              <w:t>8.83</w:t>
            </w:r>
          </w:p>
        </w:tc>
      </w:tr>
      <w:tr w14:paraId="34993EA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49C66">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EC3B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1CB5D">
            <w:pPr>
              <w:jc w:val="center"/>
            </w:pPr>
            <w:r>
              <w:rPr>
                <w:rFonts w:ascii="宋体" w:hAnsi="宋体" w:eastAsia="宋体"/>
                <w:sz w:val="16"/>
              </w:rPr>
              <w:t>在校学生升学率（%）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73196">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AEFB0">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71E1A">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3DD5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E9467">
            <w:pPr>
              <w:jc w:val="center"/>
            </w:pPr>
            <w:r>
              <w:rPr>
                <w:rFonts w:ascii="宋体" w:hAnsi="宋体" w:eastAsia="宋体"/>
                <w:sz w:val="16"/>
              </w:rPr>
              <w:t>5</w:t>
            </w:r>
          </w:p>
        </w:tc>
      </w:tr>
      <w:tr w14:paraId="79C924B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F940F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FC59A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C61D4">
            <w:pPr>
              <w:jc w:val="center"/>
            </w:pPr>
            <w:r>
              <w:rPr>
                <w:rFonts w:ascii="宋体" w:hAnsi="宋体" w:eastAsia="宋体"/>
                <w:sz w:val="16"/>
              </w:rPr>
              <w:t>业务活动完成及时率（%）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00966">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FC9EA">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8D570">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5C2D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6EBDB">
            <w:pPr>
              <w:jc w:val="center"/>
            </w:pPr>
            <w:r>
              <w:rPr>
                <w:rFonts w:ascii="宋体" w:hAnsi="宋体" w:eastAsia="宋体"/>
                <w:sz w:val="16"/>
              </w:rPr>
              <w:t>5</w:t>
            </w:r>
          </w:p>
        </w:tc>
      </w:tr>
      <w:tr w14:paraId="21A9F02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0499A6">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0B3C7">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E766D">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F041A">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6DE89">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5CD9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B4CC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2240DA">
            <w:pPr>
              <w:jc w:val="center"/>
            </w:pPr>
            <w:r>
              <w:rPr>
                <w:rFonts w:ascii="宋体" w:hAnsi="宋体" w:eastAsia="宋体"/>
                <w:sz w:val="16"/>
              </w:rPr>
              <w:t>10</w:t>
            </w:r>
          </w:p>
        </w:tc>
      </w:tr>
      <w:tr w14:paraId="6A42B74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42032">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407F6">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9ABDDB">
            <w:pPr>
              <w:jc w:val="center"/>
            </w:pPr>
            <w:r>
              <w:rPr>
                <w:rFonts w:ascii="宋体" w:hAnsi="宋体" w:eastAsia="宋体"/>
                <w:sz w:val="16"/>
              </w:rPr>
              <w:t>受益教师满意度（%）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B2F026">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5D8E3">
            <w:pPr>
              <w:jc w:val="center"/>
            </w:pPr>
            <w:r>
              <w:rPr>
                <w:rFonts w:ascii="宋体" w:hAnsi="宋体" w:eastAsia="宋体"/>
                <w:sz w:val="16"/>
              </w:rPr>
              <w:t>地方财政部门文件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F675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7B12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C3B375">
            <w:pPr>
              <w:jc w:val="center"/>
            </w:pPr>
            <w:r>
              <w:rPr>
                <w:rFonts w:ascii="宋体" w:hAnsi="宋体" w:eastAsia="宋体"/>
                <w:sz w:val="16"/>
              </w:rPr>
              <w:t>10</w:t>
            </w:r>
          </w:p>
        </w:tc>
      </w:tr>
      <w:tr w14:paraId="3C1C156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AF4FA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5D0C7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464AF">
            <w:pPr>
              <w:jc w:val="center"/>
            </w:pPr>
            <w:r>
              <w:rPr>
                <w:rFonts w:ascii="宋体" w:hAnsi="宋体" w:eastAsia="宋体"/>
                <w:sz w:val="16"/>
              </w:rPr>
              <w:t>社会公众对本部门的履职效果满意度（%）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16700">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6F238">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B8C8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1636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036D2">
            <w:pPr>
              <w:jc w:val="center"/>
            </w:pPr>
            <w:r>
              <w:rPr>
                <w:rFonts w:ascii="宋体" w:hAnsi="宋体" w:eastAsia="宋体"/>
                <w:sz w:val="16"/>
              </w:rPr>
              <w:t>10</w:t>
            </w:r>
          </w:p>
        </w:tc>
      </w:tr>
    </w:tbl>
    <w:p w14:paraId="6D4719B5">
      <w:r>
        <w:br w:type="page"/>
      </w:r>
    </w:p>
    <w:p w14:paraId="47EFC737">
      <w:pPr>
        <w:spacing w:line="640" w:lineRule="exact"/>
        <w:ind w:firstLine="640"/>
        <w:jc w:val="both"/>
        <w:outlineLvl w:val="2"/>
      </w:pPr>
      <w:r>
        <w:rPr>
          <w:rFonts w:ascii="黑体" w:hAnsi="黑体" w:eastAsia="黑体"/>
          <w:sz w:val="32"/>
        </w:rPr>
        <w:t>十二、其他需说明的事项</w:t>
      </w:r>
    </w:p>
    <w:p w14:paraId="2C735AB6">
      <w:pPr>
        <w:spacing w:line="580" w:lineRule="exact"/>
        <w:ind w:firstLine="640"/>
        <w:jc w:val="both"/>
      </w:pPr>
      <w:r>
        <w:rPr>
          <w:rFonts w:ascii="仿宋_GB2312" w:hAnsi="仿宋_GB2312" w:eastAsia="仿宋_GB2312"/>
          <w:b w:val="0"/>
          <w:sz w:val="32"/>
        </w:rPr>
        <w:t>本单位无其他需说明的事项。</w:t>
      </w:r>
    </w:p>
    <w:p w14:paraId="17A8073D">
      <w:r>
        <w:br w:type="page"/>
      </w:r>
    </w:p>
    <w:p w14:paraId="0F8DFD75">
      <w:pPr>
        <w:spacing w:line="240" w:lineRule="auto"/>
        <w:jc w:val="center"/>
        <w:outlineLvl w:val="1"/>
      </w:pPr>
      <w:r>
        <w:rPr>
          <w:rFonts w:ascii="黑体" w:hAnsi="黑体" w:eastAsia="黑体"/>
          <w:sz w:val="32"/>
        </w:rPr>
        <w:t>第三部分 专业名词解释</w:t>
      </w:r>
    </w:p>
    <w:p w14:paraId="4150AB3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68A6C0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A564CC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4B1256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FC48BE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715DFE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C62D3E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A27314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FAA0CB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95D551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3AB79F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39BCED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AAA74F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9C39C7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CC50214">
      <w:r>
        <w:br w:type="page"/>
      </w:r>
    </w:p>
    <w:p w14:paraId="3580F1AD">
      <w:pPr>
        <w:spacing w:line="240" w:lineRule="auto"/>
        <w:jc w:val="center"/>
        <w:outlineLvl w:val="1"/>
      </w:pPr>
      <w:r>
        <w:rPr>
          <w:rFonts w:ascii="黑体" w:hAnsi="黑体" w:eastAsia="黑体"/>
          <w:sz w:val="32"/>
        </w:rPr>
        <w:t>第四部分 部门决算报表（见附表）</w:t>
      </w:r>
    </w:p>
    <w:p w14:paraId="6D7BE19A">
      <w:pPr>
        <w:spacing w:line="240" w:lineRule="auto"/>
        <w:ind w:firstLine="640"/>
        <w:jc w:val="both"/>
      </w:pPr>
      <w:r>
        <w:rPr>
          <w:rFonts w:ascii="仿宋_GB2312" w:hAnsi="仿宋_GB2312" w:eastAsia="仿宋_GB2312"/>
          <w:b w:val="0"/>
          <w:sz w:val="32"/>
        </w:rPr>
        <w:t>一、《收入支出决算总表》</w:t>
      </w:r>
    </w:p>
    <w:p w14:paraId="488E0E4C">
      <w:pPr>
        <w:spacing w:line="240" w:lineRule="auto"/>
        <w:ind w:firstLine="640"/>
        <w:jc w:val="both"/>
      </w:pPr>
      <w:r>
        <w:rPr>
          <w:rFonts w:ascii="仿宋_GB2312" w:hAnsi="仿宋_GB2312" w:eastAsia="仿宋_GB2312"/>
          <w:b w:val="0"/>
          <w:sz w:val="32"/>
        </w:rPr>
        <w:t>二、《收入决算表》</w:t>
      </w:r>
    </w:p>
    <w:p w14:paraId="7184E527">
      <w:pPr>
        <w:spacing w:line="240" w:lineRule="auto"/>
        <w:ind w:firstLine="640"/>
        <w:jc w:val="both"/>
      </w:pPr>
      <w:r>
        <w:rPr>
          <w:rFonts w:ascii="仿宋_GB2312" w:hAnsi="仿宋_GB2312" w:eastAsia="仿宋_GB2312"/>
          <w:b w:val="0"/>
          <w:sz w:val="32"/>
        </w:rPr>
        <w:t>三、《支出决算表》</w:t>
      </w:r>
    </w:p>
    <w:p w14:paraId="2FB122BD">
      <w:pPr>
        <w:spacing w:line="240" w:lineRule="auto"/>
        <w:ind w:firstLine="640"/>
        <w:jc w:val="both"/>
      </w:pPr>
      <w:r>
        <w:rPr>
          <w:rFonts w:ascii="仿宋_GB2312" w:hAnsi="仿宋_GB2312" w:eastAsia="仿宋_GB2312"/>
          <w:b w:val="0"/>
          <w:sz w:val="32"/>
        </w:rPr>
        <w:t>四、《财政拨款收入支出决算总表》</w:t>
      </w:r>
    </w:p>
    <w:p w14:paraId="13BDBA06">
      <w:pPr>
        <w:spacing w:line="240" w:lineRule="auto"/>
        <w:ind w:firstLine="640"/>
        <w:jc w:val="both"/>
      </w:pPr>
      <w:r>
        <w:rPr>
          <w:rFonts w:ascii="仿宋_GB2312" w:hAnsi="仿宋_GB2312" w:eastAsia="仿宋_GB2312"/>
          <w:b w:val="0"/>
          <w:sz w:val="32"/>
        </w:rPr>
        <w:t>五、《一般公共预算财政拨款支出决算表》</w:t>
      </w:r>
    </w:p>
    <w:p w14:paraId="31D6C3F2">
      <w:pPr>
        <w:spacing w:line="240" w:lineRule="auto"/>
        <w:ind w:firstLine="640"/>
        <w:jc w:val="both"/>
      </w:pPr>
      <w:r>
        <w:rPr>
          <w:rFonts w:ascii="仿宋_GB2312" w:hAnsi="仿宋_GB2312" w:eastAsia="仿宋_GB2312"/>
          <w:b w:val="0"/>
          <w:sz w:val="32"/>
        </w:rPr>
        <w:t>六、《一般公共预算财政拨款基本支出决算表》</w:t>
      </w:r>
    </w:p>
    <w:p w14:paraId="74458DEC">
      <w:pPr>
        <w:spacing w:line="240" w:lineRule="auto"/>
        <w:ind w:firstLine="640"/>
        <w:jc w:val="both"/>
      </w:pPr>
      <w:r>
        <w:rPr>
          <w:rFonts w:ascii="仿宋_GB2312" w:hAnsi="仿宋_GB2312" w:eastAsia="仿宋_GB2312"/>
          <w:b w:val="0"/>
          <w:sz w:val="32"/>
        </w:rPr>
        <w:t>七、《政府性基金预算财政拨款收入支出决算表》</w:t>
      </w:r>
    </w:p>
    <w:p w14:paraId="4397EA32">
      <w:pPr>
        <w:spacing w:line="240" w:lineRule="auto"/>
        <w:ind w:firstLine="640"/>
        <w:jc w:val="both"/>
      </w:pPr>
      <w:r>
        <w:rPr>
          <w:rFonts w:ascii="仿宋_GB2312" w:hAnsi="仿宋_GB2312" w:eastAsia="仿宋_GB2312"/>
          <w:b w:val="0"/>
          <w:sz w:val="32"/>
        </w:rPr>
        <w:t>八、《国有资本经营预算财政拨款收入支出决算表》</w:t>
      </w:r>
    </w:p>
    <w:p w14:paraId="5199754C">
      <w:pPr>
        <w:spacing w:line="240" w:lineRule="auto"/>
        <w:ind w:firstLine="640"/>
        <w:jc w:val="both"/>
      </w:pPr>
      <w:r>
        <w:rPr>
          <w:rFonts w:ascii="仿宋_GB2312" w:hAnsi="仿宋_GB2312" w:eastAsia="仿宋_GB2312"/>
          <w:b w:val="0"/>
          <w:sz w:val="32"/>
        </w:rPr>
        <w:t>九、《财政拨款“三公”经费支出决算表》</w:t>
      </w:r>
    </w:p>
    <w:p w14:paraId="773C7026">
      <w:pPr>
        <w:spacing w:line="240" w:lineRule="auto"/>
        <w:ind w:firstLine="640"/>
        <w:jc w:val="both"/>
      </w:pPr>
    </w:p>
    <w:p w14:paraId="7FF6B02F">
      <w:pPr>
        <w:spacing w:line="240" w:lineRule="auto"/>
        <w:ind w:firstLine="640"/>
        <w:jc w:val="both"/>
      </w:pPr>
    </w:p>
    <w:p w14:paraId="62F86459">
      <w:pPr>
        <w:spacing w:line="240" w:lineRule="auto"/>
        <w:ind w:firstLine="640"/>
        <w:jc w:val="both"/>
      </w:pPr>
    </w:p>
    <w:p w14:paraId="6BF1F3CC">
      <w:pPr>
        <w:spacing w:line="240" w:lineRule="auto"/>
        <w:ind w:firstLine="640"/>
        <w:jc w:val="both"/>
      </w:pPr>
    </w:p>
    <w:p w14:paraId="0B139EB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F26227C-2C76-4D99-978B-4FA108C7673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A23D32C-B0A3-4E7B-861B-B2AD5DB63321}"/>
  </w:font>
  <w:font w:name="仿宋_GB2312">
    <w:panose1 w:val="02010609030101010101"/>
    <w:charset w:val="86"/>
    <w:family w:val="modern"/>
    <w:pitch w:val="default"/>
    <w:sig w:usb0="00000001" w:usb1="080E0000" w:usb2="00000000" w:usb3="00000000" w:csb0="00040000" w:csb1="00000000"/>
    <w:embedRegular r:id="rId3" w:fontKey="{173030DC-3E44-44B1-A999-1C5D2B653396}"/>
  </w:font>
  <w:font w:name="楷体_GB2312">
    <w:panose1 w:val="02010609030101010101"/>
    <w:charset w:val="86"/>
    <w:family w:val="auto"/>
    <w:pitch w:val="default"/>
    <w:sig w:usb0="00000001" w:usb1="080E0000" w:usb2="00000000" w:usb3="00000000" w:csb0="00040000" w:csb1="00000000"/>
    <w:embedRegular r:id="rId4" w:fontKey="{DF6D409D-6688-45C4-A5E3-5C35CF16260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456007"/>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AB0BB5"/>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5212</Words>
  <Characters>5873</Characters>
  <Lines>0</Lines>
  <Paragraphs>0</Paragraphs>
  <TotalTime>3</TotalTime>
  <ScaleCrop>false</ScaleCrop>
  <LinksUpToDate>false</LinksUpToDate>
  <CharactersWithSpaces>5881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2025-09-15T09:12:09Z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