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43D33B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阿克陶县巴仁乡卫生院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D1450C">
      <w:r>
        <w:br w:type="page"/>
      </w:r>
    </w:p>
    <w:p w14:paraId="35ADE5FB">
      <w:pPr>
        <w:spacing w:line="640" w:lineRule="exact"/>
        <w:jc w:val="center"/>
        <w:outlineLvl w:val="1"/>
      </w:pPr>
      <w:r>
        <w:rPr>
          <w:rFonts w:ascii="黑体" w:hAnsi="黑体" w:eastAsia="黑体"/>
          <w:sz w:val="32"/>
        </w:rPr>
        <w:t>第一部分 单位概况</w:t>
      </w:r>
    </w:p>
    <w:p w14:paraId="214626EE">
      <w:pPr>
        <w:spacing w:line="640" w:lineRule="exact"/>
        <w:ind w:firstLine="640"/>
        <w:jc w:val="both"/>
        <w:outlineLvl w:val="2"/>
      </w:pPr>
      <w:r>
        <w:rPr>
          <w:rFonts w:ascii="黑体" w:hAnsi="黑体" w:eastAsia="黑体"/>
          <w:sz w:val="32"/>
        </w:rPr>
        <w:t>一、主要职能</w:t>
      </w:r>
    </w:p>
    <w:p w14:paraId="12428EF6">
      <w:pPr>
        <w:spacing w:line="580" w:lineRule="exact"/>
        <w:ind w:firstLine="640"/>
        <w:jc w:val="both"/>
      </w:pPr>
      <w:r>
        <w:rPr>
          <w:rFonts w:ascii="仿宋_GB2312" w:hAnsi="仿宋_GB2312" w:eastAsia="仿宋_GB2312"/>
          <w:sz w:val="32"/>
        </w:rPr>
        <w:t>1.承担本乡农村居民健康档案规范建档、管理及服务。</w:t>
      </w:r>
    </w:p>
    <w:p w14:paraId="0D468660">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7665268C">
      <w:pPr>
        <w:spacing w:line="580" w:lineRule="exact"/>
        <w:ind w:firstLine="640"/>
        <w:jc w:val="both"/>
      </w:pPr>
      <w:r>
        <w:rPr>
          <w:rFonts w:ascii="仿宋_GB2312" w:hAnsi="仿宋_GB2312" w:eastAsia="仿宋_GB2312"/>
          <w:sz w:val="32"/>
        </w:rPr>
        <w:t>3.提供并组织实施本乡预防接种服务，落实国家免疫规划。</w:t>
      </w:r>
    </w:p>
    <w:p w14:paraId="17FE07F7">
      <w:pPr>
        <w:spacing w:line="580" w:lineRule="exact"/>
        <w:ind w:firstLine="640"/>
        <w:jc w:val="both"/>
      </w:pPr>
      <w:r>
        <w:rPr>
          <w:rFonts w:ascii="仿宋_GB2312" w:hAnsi="仿宋_GB2312" w:eastAsia="仿宋_GB2312"/>
          <w:sz w:val="32"/>
        </w:rPr>
        <w:t>4.及时发现、登记并报告本乡内发现的传染病病例和疑似病例，参与现场疫情处理。</w:t>
      </w:r>
    </w:p>
    <w:p w14:paraId="6DCA625F">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0FDDAFCA">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04403485">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5D82A5DD">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18B6AA06">
      <w:pPr>
        <w:spacing w:line="580" w:lineRule="exact"/>
        <w:ind w:firstLine="640"/>
        <w:jc w:val="both"/>
      </w:pPr>
      <w:r>
        <w:rPr>
          <w:rFonts w:ascii="仿宋_GB2312" w:hAnsi="仿宋_GB2312" w:eastAsia="仿宋_GB2312"/>
          <w:sz w:val="32"/>
        </w:rPr>
        <w:t>9.对本乡重性精神疾病患者进行登记管理、治疗随访和康复指导。</w:t>
      </w:r>
    </w:p>
    <w:p w14:paraId="54B7125F">
      <w:pPr>
        <w:spacing w:line="580" w:lineRule="exact"/>
        <w:ind w:firstLine="640"/>
        <w:jc w:val="both"/>
      </w:pPr>
      <w:r>
        <w:rPr>
          <w:rFonts w:ascii="仿宋_GB2312" w:hAnsi="仿宋_GB2312" w:eastAsia="仿宋_GB2312"/>
          <w:sz w:val="32"/>
        </w:rPr>
        <w:t>10.负责本乡内突发公共卫生事件的报告并协助处理。</w:t>
      </w:r>
    </w:p>
    <w:p w14:paraId="039A2D71">
      <w:pPr>
        <w:spacing w:line="580" w:lineRule="exact"/>
        <w:ind w:firstLine="640"/>
        <w:jc w:val="both"/>
      </w:pPr>
      <w:r>
        <w:rPr>
          <w:rFonts w:ascii="仿宋_GB2312" w:hAnsi="仿宋_GB2312" w:eastAsia="仿宋_GB2312"/>
          <w:sz w:val="32"/>
        </w:rPr>
        <w:t>11.做好卫生行政部门规定的其他公共卫生服务。在农村医疗卫生服务网络中发挥着重要的基础性作用。</w:t>
      </w:r>
    </w:p>
    <w:p w14:paraId="74BBDFE3">
      <w:pPr>
        <w:spacing w:line="640" w:lineRule="exact"/>
        <w:ind w:firstLine="640"/>
        <w:jc w:val="both"/>
        <w:outlineLvl w:val="2"/>
      </w:pPr>
      <w:r>
        <w:rPr>
          <w:rFonts w:ascii="黑体" w:hAnsi="黑体" w:eastAsia="黑体"/>
          <w:sz w:val="32"/>
        </w:rPr>
        <w:t>二、机构设置及人员情况</w:t>
      </w:r>
    </w:p>
    <w:p w14:paraId="2B27C7A9">
      <w:pPr>
        <w:spacing w:line="580" w:lineRule="exact"/>
        <w:ind w:firstLine="640"/>
        <w:jc w:val="both"/>
      </w:pPr>
      <w:r>
        <w:rPr>
          <w:rFonts w:ascii="仿宋_GB2312" w:hAnsi="仿宋_GB2312" w:eastAsia="仿宋_GB2312"/>
          <w:sz w:val="32"/>
        </w:rPr>
        <w:t>阿克陶县巴仁乡卫生院2024年度，实有人数66人，其中：在职人员56人，增加0人；离休人员0人，增加0人；退休人员10人,增加1人。</w:t>
      </w:r>
    </w:p>
    <w:p w14:paraId="62570554">
      <w:pPr>
        <w:spacing w:line="580" w:lineRule="exact"/>
        <w:ind w:firstLine="640"/>
        <w:jc w:val="both"/>
      </w:pPr>
      <w:r>
        <w:rPr>
          <w:rFonts w:ascii="仿宋_GB2312" w:hAnsi="仿宋_GB2312" w:eastAsia="仿宋_GB2312"/>
          <w:sz w:val="32"/>
        </w:rPr>
        <w:t>阿克陶县巴仁乡卫生院无下属预算单位，下设</w:t>
      </w:r>
      <w:r>
        <w:rPr>
          <w:rFonts w:hint="eastAsia" w:ascii="仿宋_GB2312" w:hAnsi="仿宋_GB2312" w:eastAsia="仿宋_GB2312"/>
          <w:sz w:val="32"/>
          <w:lang w:val="en-US" w:eastAsia="zh-CN"/>
        </w:rPr>
        <w:t>12</w:t>
      </w:r>
      <w:r>
        <w:rPr>
          <w:rFonts w:ascii="仿宋_GB2312" w:hAnsi="仿宋_GB2312" w:eastAsia="仿宋_GB2312"/>
          <w:sz w:val="32"/>
        </w:rPr>
        <w:t>个科室，分别是：综合内科、妇幼保健科、防疫科、公卫科</w:t>
      </w:r>
      <w:r>
        <w:rPr>
          <w:rFonts w:hint="eastAsia" w:ascii="仿宋_GB2312" w:hAnsi="仿宋_GB2312" w:eastAsia="仿宋_GB2312"/>
          <w:sz w:val="32"/>
          <w:lang w:eastAsia="zh-CN"/>
        </w:rPr>
        <w:t>、</w:t>
      </w:r>
      <w:r>
        <w:rPr>
          <w:rFonts w:ascii="仿宋_GB2312" w:hAnsi="仿宋_GB2312" w:eastAsia="仿宋_GB2312"/>
          <w:sz w:val="32"/>
        </w:rPr>
        <w:t>心电图、B超室、检验科、放射科、中医科</w:t>
      </w:r>
      <w:r>
        <w:rPr>
          <w:rFonts w:hint="eastAsia" w:ascii="仿宋_GB2312" w:hAnsi="仿宋_GB2312" w:eastAsia="仿宋_GB2312"/>
          <w:sz w:val="32"/>
          <w:lang w:eastAsia="zh-CN"/>
        </w:rPr>
        <w:t>、</w:t>
      </w:r>
      <w:r>
        <w:rPr>
          <w:rFonts w:ascii="仿宋_GB2312" w:hAnsi="仿宋_GB2312" w:eastAsia="仿宋_GB2312"/>
          <w:sz w:val="32"/>
        </w:rPr>
        <w:t>财务科</w:t>
      </w:r>
      <w:r>
        <w:rPr>
          <w:rFonts w:hint="eastAsia" w:ascii="仿宋_GB2312" w:hAnsi="仿宋_GB2312" w:eastAsia="仿宋_GB2312"/>
          <w:sz w:val="32"/>
          <w:lang w:eastAsia="zh-CN"/>
        </w:rPr>
        <w:t>、</w:t>
      </w:r>
      <w:r>
        <w:rPr>
          <w:rFonts w:ascii="仿宋_GB2312" w:hAnsi="仿宋_GB2312" w:eastAsia="仿宋_GB2312"/>
          <w:sz w:val="32"/>
        </w:rPr>
        <w:t>药房</w:t>
      </w:r>
      <w:r>
        <w:rPr>
          <w:rFonts w:hint="eastAsia" w:ascii="仿宋_GB2312" w:hAnsi="仿宋_GB2312" w:eastAsia="仿宋_GB2312"/>
          <w:sz w:val="32"/>
          <w:lang w:eastAsia="zh-CN"/>
        </w:rPr>
        <w:t>、</w:t>
      </w:r>
      <w:r>
        <w:rPr>
          <w:rFonts w:ascii="仿宋_GB2312" w:hAnsi="仿宋_GB2312" w:eastAsia="仿宋_GB2312"/>
          <w:sz w:val="32"/>
        </w:rPr>
        <w:t>办公室。</w:t>
      </w:r>
    </w:p>
    <w:p w14:paraId="3C04A86E">
      <w:r>
        <w:br w:type="page"/>
      </w:r>
    </w:p>
    <w:p w14:paraId="45A954C9">
      <w:pPr>
        <w:spacing w:line="240" w:lineRule="auto"/>
        <w:jc w:val="center"/>
        <w:outlineLvl w:val="1"/>
      </w:pPr>
      <w:r>
        <w:rPr>
          <w:rFonts w:ascii="黑体" w:hAnsi="黑体" w:eastAsia="黑体"/>
          <w:sz w:val="32"/>
        </w:rPr>
        <w:t>第二部分 部门决算情况说明</w:t>
      </w:r>
    </w:p>
    <w:p w14:paraId="739C4BB5">
      <w:pPr>
        <w:spacing w:line="640" w:lineRule="exact"/>
        <w:ind w:firstLine="640"/>
        <w:jc w:val="both"/>
        <w:outlineLvl w:val="2"/>
      </w:pPr>
      <w:r>
        <w:rPr>
          <w:rFonts w:ascii="黑体" w:hAnsi="黑体" w:eastAsia="黑体"/>
          <w:sz w:val="32"/>
        </w:rPr>
        <w:t>一、收入支出决算总体情况说明</w:t>
      </w:r>
    </w:p>
    <w:p w14:paraId="267B7991">
      <w:pPr>
        <w:spacing w:line="580" w:lineRule="exact"/>
        <w:ind w:firstLine="640"/>
        <w:jc w:val="both"/>
      </w:pPr>
      <w:r>
        <w:rPr>
          <w:rFonts w:ascii="仿宋_GB2312" w:hAnsi="仿宋_GB2312" w:eastAsia="仿宋_GB2312"/>
          <w:b/>
          <w:sz w:val="32"/>
        </w:rPr>
        <w:t>2024年度收入总计3,477.13万元，</w:t>
      </w:r>
      <w:r>
        <w:rPr>
          <w:rFonts w:ascii="仿宋_GB2312" w:hAnsi="仿宋_GB2312" w:eastAsia="仿宋_GB2312"/>
          <w:b w:val="0"/>
          <w:sz w:val="32"/>
        </w:rPr>
        <w:t>其中：本年收入合计2,548.44万元，使用非财政拨款结余（含专用结余）0.00万元，年初结转和结余928.68万元。</w:t>
      </w:r>
    </w:p>
    <w:p w14:paraId="6DBA694B">
      <w:pPr>
        <w:spacing w:line="580" w:lineRule="exact"/>
        <w:ind w:firstLine="640"/>
        <w:jc w:val="both"/>
      </w:pPr>
      <w:r>
        <w:rPr>
          <w:rFonts w:ascii="仿宋_GB2312" w:hAnsi="仿宋_GB2312" w:eastAsia="仿宋_GB2312"/>
          <w:b/>
          <w:sz w:val="32"/>
        </w:rPr>
        <w:t>2024年度支出总计3,477.13万元，</w:t>
      </w:r>
      <w:r>
        <w:rPr>
          <w:rFonts w:ascii="仿宋_GB2312" w:hAnsi="仿宋_GB2312" w:eastAsia="仿宋_GB2312"/>
          <w:b w:val="0"/>
          <w:sz w:val="32"/>
        </w:rPr>
        <w:t>其中：本年支出合计2,460.88万元，结余分配0.00万元，年末结转和结余1,016.24万元。</w:t>
      </w:r>
    </w:p>
    <w:p w14:paraId="0BF21848">
      <w:pPr>
        <w:spacing w:line="580" w:lineRule="exact"/>
        <w:ind w:firstLine="640"/>
        <w:jc w:val="both"/>
      </w:pPr>
      <w:r>
        <w:rPr>
          <w:rFonts w:ascii="仿宋_GB2312" w:hAnsi="仿宋_GB2312" w:eastAsia="仿宋_GB2312"/>
          <w:b w:val="0"/>
          <w:sz w:val="32"/>
        </w:rPr>
        <w:t>收入支出总体与上年相比，增加174.73万元，增长5.29%，主要原因是：本年增加2024年医疗服务与保障能力提升（医疗卫生机构能力建设）补助项目经费</w:t>
      </w:r>
      <w:r>
        <w:rPr>
          <w:rFonts w:hint="eastAsia" w:ascii="仿宋_GB2312" w:hAnsi="仿宋_GB2312" w:eastAsia="仿宋_GB2312"/>
          <w:b w:val="0"/>
          <w:sz w:val="32"/>
          <w:lang w:eastAsia="zh-CN"/>
        </w:rPr>
        <w:t>、</w:t>
      </w:r>
      <w:r>
        <w:rPr>
          <w:rFonts w:ascii="仿宋_GB2312" w:hAnsi="仿宋_GB2312" w:eastAsia="仿宋_GB2312"/>
          <w:b w:val="0"/>
          <w:sz w:val="32"/>
        </w:rPr>
        <w:t>自治区财政基本公共卫生服务补助项目经费，导致相关经费增加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门诊、住院病人增加，导致医疗收入增加</w:t>
      </w:r>
      <w:r>
        <w:rPr>
          <w:rFonts w:ascii="仿宋_GB2312" w:hAnsi="仿宋_GB2312" w:eastAsia="仿宋_GB2312"/>
          <w:b w:val="0"/>
          <w:sz w:val="32"/>
        </w:rPr>
        <w:t>。</w:t>
      </w:r>
    </w:p>
    <w:p w14:paraId="4C5BEF92">
      <w:pPr>
        <w:spacing w:line="640" w:lineRule="exact"/>
        <w:ind w:firstLine="640"/>
        <w:jc w:val="both"/>
        <w:outlineLvl w:val="2"/>
      </w:pPr>
      <w:r>
        <w:rPr>
          <w:rFonts w:ascii="黑体" w:hAnsi="黑体" w:eastAsia="黑体"/>
          <w:sz w:val="32"/>
        </w:rPr>
        <w:t>二、收入决算情况说明</w:t>
      </w:r>
    </w:p>
    <w:p w14:paraId="4DEC6FA5">
      <w:pPr>
        <w:spacing w:line="580" w:lineRule="exact"/>
        <w:ind w:firstLine="640"/>
        <w:jc w:val="both"/>
      </w:pPr>
      <w:r>
        <w:rPr>
          <w:rFonts w:ascii="仿宋_GB2312" w:hAnsi="仿宋_GB2312" w:eastAsia="仿宋_GB2312"/>
          <w:b/>
          <w:sz w:val="32"/>
        </w:rPr>
        <w:t>本年收入2,548.44万元，</w:t>
      </w:r>
      <w:r>
        <w:rPr>
          <w:rFonts w:ascii="仿宋_GB2312" w:hAnsi="仿宋_GB2312" w:eastAsia="仿宋_GB2312"/>
          <w:b w:val="0"/>
          <w:sz w:val="32"/>
        </w:rPr>
        <w:t>其中：财政拨款收入1,678.52万元，占65.86%；上级补助收入0.00万元，占0.00%；事业收入843.40万元，占33.09%；经营收入0.00万元，占0.00%；附属单位上缴收入0.00万元，占0.00%；其他收入26.52万元，占1.04%。</w:t>
      </w:r>
    </w:p>
    <w:p w14:paraId="18E5CBA6">
      <w:pPr>
        <w:spacing w:line="640" w:lineRule="exact"/>
        <w:ind w:firstLine="640"/>
        <w:jc w:val="both"/>
        <w:outlineLvl w:val="2"/>
      </w:pPr>
      <w:r>
        <w:rPr>
          <w:rFonts w:ascii="黑体" w:hAnsi="黑体" w:eastAsia="黑体"/>
          <w:sz w:val="32"/>
        </w:rPr>
        <w:t>三、支出决算情况说明</w:t>
      </w:r>
    </w:p>
    <w:p w14:paraId="75B608E9">
      <w:pPr>
        <w:spacing w:line="580" w:lineRule="exact"/>
        <w:ind w:firstLine="640"/>
        <w:jc w:val="both"/>
      </w:pPr>
      <w:r>
        <w:rPr>
          <w:rFonts w:ascii="仿宋_GB2312" w:hAnsi="仿宋_GB2312" w:eastAsia="仿宋_GB2312"/>
          <w:b/>
          <w:sz w:val="32"/>
        </w:rPr>
        <w:t>本年支出2,460.88万元，</w:t>
      </w:r>
      <w:r>
        <w:rPr>
          <w:rFonts w:ascii="仿宋_GB2312" w:hAnsi="仿宋_GB2312" w:eastAsia="仿宋_GB2312"/>
          <w:b w:val="0"/>
          <w:sz w:val="32"/>
        </w:rPr>
        <w:t>其中：基本支出1,971.28万元，占80.10%；项目支出489.60万元，占19.90%；上缴上级支出0.00万元，占0.00%；经营支出0.00万元，占0.00%；对附属单位补助支出0.00万元，占0.00%。</w:t>
      </w:r>
    </w:p>
    <w:p w14:paraId="2AB50B37">
      <w:pPr>
        <w:spacing w:line="640" w:lineRule="exact"/>
        <w:ind w:firstLine="640"/>
        <w:jc w:val="both"/>
        <w:outlineLvl w:val="2"/>
      </w:pPr>
      <w:r>
        <w:rPr>
          <w:rFonts w:ascii="黑体" w:hAnsi="黑体" w:eastAsia="黑体"/>
          <w:sz w:val="32"/>
        </w:rPr>
        <w:t>四、财政拨款收入支出决算总体情况说明</w:t>
      </w:r>
    </w:p>
    <w:p w14:paraId="39F09191">
      <w:pPr>
        <w:spacing w:line="580" w:lineRule="exact"/>
        <w:ind w:firstLine="640"/>
        <w:jc w:val="both"/>
      </w:pPr>
      <w:r>
        <w:rPr>
          <w:rFonts w:ascii="仿宋_GB2312" w:hAnsi="仿宋_GB2312" w:eastAsia="仿宋_GB2312"/>
          <w:b/>
          <w:sz w:val="32"/>
        </w:rPr>
        <w:t>2024年度财政拨款收入总计1,678.52万元，</w:t>
      </w:r>
      <w:r>
        <w:rPr>
          <w:rFonts w:ascii="仿宋_GB2312" w:hAnsi="仿宋_GB2312" w:eastAsia="仿宋_GB2312"/>
          <w:b w:val="0"/>
          <w:sz w:val="32"/>
        </w:rPr>
        <w:t>其中：年初财政拨款结转和结余0.00万元，本年财政拨款收入1,678.52万元。</w:t>
      </w:r>
      <w:r>
        <w:rPr>
          <w:rFonts w:ascii="仿宋_GB2312" w:hAnsi="仿宋_GB2312" w:eastAsia="仿宋_GB2312"/>
          <w:b/>
          <w:sz w:val="32"/>
        </w:rPr>
        <w:t>财政拨款支出总计1,678.52万元，</w:t>
      </w:r>
      <w:r>
        <w:rPr>
          <w:rFonts w:ascii="仿宋_GB2312" w:hAnsi="仿宋_GB2312" w:eastAsia="仿宋_GB2312"/>
          <w:b w:val="0"/>
          <w:sz w:val="32"/>
        </w:rPr>
        <w:t>其中：年末财政拨款结转和结余0.00万元，本年财政拨款支出1,678.52万元。</w:t>
      </w:r>
    </w:p>
    <w:p w14:paraId="3247C6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减少184.58万元，下降9.91%，主要原因是：本年减少聘用人员工资经费、专用设备购置经费等经费、减少2023年自治区公共卫生服务（地方公共卫生）补助项目资，导致相关经费减少。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年初预算数1,370.57万元，决算数1,678.52万元，预决算差异率22.47%，主要原因是：年中追加人员经费及人员工资、社保、公积金基数调增部分资金，导致预决算存在差异。</w:t>
      </w:r>
    </w:p>
    <w:p w14:paraId="46A82E85">
      <w:pPr>
        <w:spacing w:line="640" w:lineRule="exact"/>
        <w:ind w:firstLine="640"/>
        <w:jc w:val="both"/>
        <w:outlineLvl w:val="2"/>
      </w:pPr>
      <w:r>
        <w:rPr>
          <w:rFonts w:ascii="黑体" w:hAnsi="黑体" w:eastAsia="黑体"/>
          <w:sz w:val="32"/>
        </w:rPr>
        <w:t>五、一般公共预算财政拨款支出决算情况说明</w:t>
      </w:r>
    </w:p>
    <w:p w14:paraId="5436E53D">
      <w:pPr>
        <w:spacing w:line="640" w:lineRule="exact"/>
        <w:ind w:firstLine="640"/>
        <w:jc w:val="both"/>
        <w:outlineLvl w:val="3"/>
      </w:pPr>
      <w:r>
        <w:rPr>
          <w:rFonts w:ascii="楷体_GB2312" w:hAnsi="楷体_GB2312" w:eastAsia="楷体_GB2312"/>
          <w:b/>
          <w:sz w:val="32"/>
        </w:rPr>
        <w:t>（一）一般公共预算财政拨款支出决算总体情况</w:t>
      </w:r>
    </w:p>
    <w:p w14:paraId="7E778912">
      <w:pPr>
        <w:spacing w:line="580" w:lineRule="exact"/>
        <w:ind w:firstLine="640"/>
        <w:jc w:val="both"/>
      </w:pPr>
      <w:r>
        <w:rPr>
          <w:rFonts w:ascii="仿宋_GB2312" w:hAnsi="仿宋_GB2312" w:eastAsia="仿宋_GB2312"/>
          <w:b/>
          <w:sz w:val="32"/>
        </w:rPr>
        <w:t>2024年度一般公共预算财政拨款支出1,677.51万元，</w:t>
      </w:r>
      <w:r>
        <w:rPr>
          <w:rFonts w:ascii="仿宋_GB2312" w:hAnsi="仿宋_GB2312" w:eastAsia="仿宋_GB2312"/>
          <w:b w:val="0"/>
          <w:sz w:val="32"/>
        </w:rPr>
        <w:t>占本年支出合计的68.17%。</w:t>
      </w:r>
      <w:r>
        <w:rPr>
          <w:rFonts w:ascii="仿宋_GB2312" w:hAnsi="仿宋_GB2312" w:eastAsia="仿宋_GB2312"/>
          <w:b/>
          <w:sz w:val="32"/>
        </w:rPr>
        <w:t>与上年相比，</w:t>
      </w:r>
      <w:r>
        <w:rPr>
          <w:rFonts w:ascii="仿宋_GB2312" w:hAnsi="仿宋_GB2312" w:eastAsia="仿宋_GB2312"/>
          <w:b w:val="0"/>
          <w:sz w:val="32"/>
        </w:rPr>
        <w:t>减少185.59万元，下降9.96%，主要原因是：本年减少聘用人员工资经费、专用设备购置经费等经费、减少2023年自治区公共卫生服务（地方公共卫生）补助项目资，导致相关经费减少。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年初预算数1,370.57万元，决算数1,677.51万元，预决算差异率22.40%，主要原因是：年中追加人员经费及人员工资、社保、公积金基数调增部分资金，导致预决算存在差异。</w:t>
      </w:r>
    </w:p>
    <w:p w14:paraId="1EFC9A11">
      <w:pPr>
        <w:spacing w:line="640" w:lineRule="exact"/>
        <w:ind w:firstLine="640"/>
        <w:jc w:val="both"/>
        <w:outlineLvl w:val="3"/>
      </w:pPr>
      <w:r>
        <w:rPr>
          <w:rFonts w:ascii="楷体_GB2312" w:hAnsi="楷体_GB2312" w:eastAsia="楷体_GB2312"/>
          <w:b/>
          <w:sz w:val="32"/>
        </w:rPr>
        <w:t>（二）一般公共预算财政拨款支出决算结构情况</w:t>
      </w:r>
    </w:p>
    <w:p w14:paraId="0E685F1B">
      <w:pPr>
        <w:spacing w:line="580" w:lineRule="exact"/>
        <w:ind w:firstLine="640"/>
        <w:jc w:val="both"/>
      </w:pPr>
      <w:r>
        <w:rPr>
          <w:rFonts w:ascii="仿宋_GB2312" w:hAnsi="仿宋_GB2312" w:eastAsia="仿宋_GB2312"/>
          <w:b w:val="0"/>
          <w:sz w:val="32"/>
        </w:rPr>
        <w:t>1.社会保障和就业支出(类)151.21万元,占9.01%。</w:t>
      </w:r>
    </w:p>
    <w:p w14:paraId="45469328">
      <w:pPr>
        <w:spacing w:line="580" w:lineRule="exact"/>
        <w:ind w:firstLine="640"/>
        <w:jc w:val="both"/>
      </w:pPr>
      <w:r>
        <w:rPr>
          <w:rFonts w:ascii="仿宋_GB2312" w:hAnsi="仿宋_GB2312" w:eastAsia="仿宋_GB2312"/>
          <w:b w:val="0"/>
          <w:sz w:val="32"/>
        </w:rPr>
        <w:t>2.卫生健康支出(类)1,430.23万元,占85.26%。</w:t>
      </w:r>
    </w:p>
    <w:p w14:paraId="79FC9BA4">
      <w:pPr>
        <w:spacing w:line="580" w:lineRule="exact"/>
        <w:ind w:firstLine="640"/>
        <w:jc w:val="both"/>
      </w:pPr>
      <w:r>
        <w:rPr>
          <w:rFonts w:ascii="仿宋_GB2312" w:hAnsi="仿宋_GB2312" w:eastAsia="仿宋_GB2312"/>
          <w:b w:val="0"/>
          <w:sz w:val="32"/>
        </w:rPr>
        <w:t>3.住房保障支出(类)96.07万元,占5.73%。</w:t>
      </w:r>
    </w:p>
    <w:p w14:paraId="380DEB19">
      <w:pPr>
        <w:spacing w:line="640" w:lineRule="exact"/>
        <w:ind w:firstLine="640"/>
        <w:jc w:val="both"/>
        <w:outlineLvl w:val="3"/>
      </w:pPr>
      <w:r>
        <w:rPr>
          <w:rFonts w:ascii="楷体_GB2312" w:hAnsi="楷体_GB2312" w:eastAsia="楷体_GB2312"/>
          <w:b/>
          <w:sz w:val="32"/>
        </w:rPr>
        <w:t>（三）一般公共预算财政拨款支出决算具体情况</w:t>
      </w:r>
    </w:p>
    <w:p w14:paraId="666E44A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1.社会保障和就业支出(类)行政事业单位养老支出(款)事业单位离退休(项):支出决算数为12.23万元，比上年决算增加1.92万元，增长18.62%,主要原因是：本年退休人员增加，退休费支出增加。</w:t>
      </w:r>
    </w:p>
    <w:p w14:paraId="0CE7FF5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114.29万元，比上年决算增加14.64万元，增长14.69%,主要原因是：本年在职人员工资基数调增，养老缴费基数上涨，相应支出增加。</w:t>
      </w:r>
    </w:p>
    <w:p w14:paraId="2D65763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3.社会保障和就业支出(类)行政事业单位养老支出(款)机关事业单位职业年金缴费支出(项):支出决算数为8.13万元，比上年决算增加2.09万元，增长34.60%,主要原因是：本年新增退休人员，职业年金缴费支出增加。</w:t>
      </w:r>
    </w:p>
    <w:p w14:paraId="2FA1DBBC">
      <w:pPr>
        <w:spacing w:line="580" w:lineRule="exact"/>
        <w:ind w:firstLine="640"/>
        <w:jc w:val="both"/>
      </w:pPr>
      <w:r>
        <w:rPr>
          <w:rFonts w:ascii="仿宋_GB2312" w:hAnsi="仿宋_GB2312" w:eastAsia="仿宋_GB2312"/>
          <w:b w:val="0"/>
          <w:sz w:val="32"/>
        </w:rPr>
        <w:t>4.社会保障和就业支出(类)抚恤(款)死亡抚恤(项):支出决算数为16.57万元，比上年决算增加16.46万元，增长14,963.64%,主要原因是：本年新增死亡人员较上年增加，死亡抚恤支出增加。</w:t>
      </w:r>
    </w:p>
    <w:p w14:paraId="1A33AE9F">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5.卫生健康支出(类)卫生健康管理事务(款)其他卫生健康管理事务支出(项):支出决算数为8.33万元，比上年决算增加8.33万元，增长100.00%,主要原因是：本年增加劳务费，导致相关经费增加。</w:t>
      </w:r>
    </w:p>
    <w:p w14:paraId="5F235749">
      <w:pPr>
        <w:spacing w:line="580" w:lineRule="exact"/>
        <w:ind w:firstLine="640"/>
        <w:jc w:val="both"/>
      </w:pPr>
      <w:r>
        <w:rPr>
          <w:rFonts w:ascii="仿宋_GB2312" w:hAnsi="仿宋_GB2312" w:eastAsia="仿宋_GB2312"/>
          <w:b w:val="0"/>
          <w:sz w:val="32"/>
        </w:rPr>
        <w:t>6.卫生健康支出(类)基层医疗卫生机构(款)乡镇卫生院(项):支出决算数为893.79万元，比上年决算减少142.78万元，下降13.77%,主要原因是：本年减少聘用人员工资经费、专用设备购置经费等经费，导致相关经费减少。</w:t>
      </w:r>
    </w:p>
    <w:p w14:paraId="37EA6C67">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119.33万元，比上年决算增加48.01万元，增长67.32%,主要原因是：本年增加2024年医疗服务与保障能力提升（医疗卫生机构能力建设）补助项目经费，导致相关经费增加。</w:t>
      </w:r>
    </w:p>
    <w:p w14:paraId="0BAB04AC">
      <w:pPr>
        <w:spacing w:line="580" w:lineRule="exact"/>
        <w:ind w:firstLine="640"/>
        <w:jc w:val="both"/>
      </w:pPr>
      <w:r>
        <w:rPr>
          <w:rFonts w:ascii="仿宋_GB2312" w:hAnsi="仿宋_GB2312" w:eastAsia="仿宋_GB2312"/>
          <w:b w:val="0"/>
          <w:sz w:val="32"/>
        </w:rPr>
        <w:t>8.卫生健康支出(类)公共卫生(款)基本公共卫生服务(项):支出决算数为368.66万元，比上年决算增加38.62万元，增长11.70%,主要原因是：本年增加2024年自治区财政基本公共卫生服务补助项目经费，导致相关经费增加。</w:t>
      </w:r>
    </w:p>
    <w:p w14:paraId="45AD5312">
      <w:pPr>
        <w:spacing w:line="580" w:lineRule="exact"/>
        <w:ind w:firstLine="640"/>
        <w:jc w:val="both"/>
      </w:pPr>
      <w:r>
        <w:rPr>
          <w:rFonts w:ascii="仿宋_GB2312" w:hAnsi="仿宋_GB2312" w:eastAsia="仿宋_GB2312"/>
          <w:b w:val="0"/>
          <w:sz w:val="32"/>
        </w:rPr>
        <w:t>9.卫生健康支出(类)公共卫生(款)重大公共卫生服务(项):支出决算数为0.60万元，比上年决算减少0.30万元，下降33.33%,主要原因是：本年减少2023年中央重大传染防控经费资金，导致相关经费减少。</w:t>
      </w:r>
    </w:p>
    <w:p w14:paraId="38903467">
      <w:pPr>
        <w:spacing w:line="580" w:lineRule="exact"/>
        <w:ind w:firstLine="640"/>
        <w:jc w:val="both"/>
      </w:pPr>
      <w:r>
        <w:rPr>
          <w:rFonts w:ascii="仿宋_GB2312" w:hAnsi="仿宋_GB2312" w:eastAsia="仿宋_GB2312"/>
          <w:b w:val="0"/>
          <w:sz w:val="32"/>
        </w:rPr>
        <w:t>10.卫生健康支出(类)公共卫生(款)其他公共卫生支出(项):支出决算数为0.00万元，比上年决算减少191.25万元，下降100.00%,主要原因是：本年减少2023年自治区公共卫生服务（地方公共卫生）补助项目资金，导致相关经费减少。</w:t>
      </w:r>
    </w:p>
    <w:p w14:paraId="140FA4D8">
      <w:pPr>
        <w:spacing w:line="580" w:lineRule="exact"/>
        <w:ind w:firstLine="640"/>
        <w:jc w:val="both"/>
      </w:pPr>
      <w:r>
        <w:rPr>
          <w:rFonts w:ascii="仿宋_GB2312" w:hAnsi="仿宋_GB2312" w:eastAsia="仿宋_GB2312"/>
          <w:b w:val="0"/>
          <w:sz w:val="32"/>
        </w:rPr>
        <w:t>11.卫生健康支出(类)行政事业单位医疗(款)事业单位医疗(项):支出决算数为39.52万元，比上年决算增加4.58万元，增长13.11%,主要原因是：本年在职人员工资基数调增，医疗缴费基数上涨，相应支出增加。</w:t>
      </w:r>
    </w:p>
    <w:p w14:paraId="04921989">
      <w:pPr>
        <w:spacing w:line="580" w:lineRule="exact"/>
        <w:ind w:firstLine="640"/>
        <w:jc w:val="both"/>
      </w:pPr>
      <w:r>
        <w:rPr>
          <w:rFonts w:ascii="仿宋_GB2312" w:hAnsi="仿宋_GB2312" w:eastAsia="仿宋_GB2312"/>
          <w:b w:val="0"/>
          <w:sz w:val="32"/>
        </w:rPr>
        <w:t>12.住房保障支出(类)住房改革支出(款)住房公积金(项):支出决算数为96.07万元，比上年决算增加14.09万元，增长17.19%,主要原因是：本年在职人员工资基数调增，公积金缴费基数上涨，相应支出增加。</w:t>
      </w:r>
    </w:p>
    <w:p w14:paraId="7316BB75">
      <w:pPr>
        <w:spacing w:line="640" w:lineRule="exact"/>
        <w:ind w:firstLine="640"/>
        <w:jc w:val="both"/>
        <w:outlineLvl w:val="2"/>
      </w:pPr>
      <w:r>
        <w:rPr>
          <w:rFonts w:ascii="黑体" w:hAnsi="黑体" w:eastAsia="黑体"/>
          <w:sz w:val="32"/>
        </w:rPr>
        <w:t>六、一般公共预算财政拨款基本支出决算情况说明</w:t>
      </w:r>
    </w:p>
    <w:p w14:paraId="064AFBB4">
      <w:pPr>
        <w:spacing w:line="580" w:lineRule="exact"/>
        <w:ind w:firstLine="640"/>
        <w:jc w:val="both"/>
      </w:pPr>
      <w:r>
        <w:rPr>
          <w:rFonts w:ascii="仿宋_GB2312" w:hAnsi="仿宋_GB2312" w:eastAsia="仿宋_GB2312"/>
          <w:b w:val="0"/>
          <w:sz w:val="32"/>
        </w:rPr>
        <w:t>2024年度一般公共预算财政拨款基本支出1,188.92万元，其中：</w:t>
      </w:r>
      <w:r>
        <w:rPr>
          <w:rFonts w:ascii="仿宋_GB2312" w:hAnsi="仿宋_GB2312" w:eastAsia="仿宋_GB2312"/>
          <w:b/>
          <w:sz w:val="32"/>
        </w:rPr>
        <w:t>人员经费1,180.59万元，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5420B3E4">
      <w:pPr>
        <w:spacing w:line="580" w:lineRule="exact"/>
        <w:ind w:firstLine="640"/>
        <w:jc w:val="both"/>
      </w:pPr>
      <w:r>
        <w:rPr>
          <w:rFonts w:ascii="仿宋_GB2312" w:hAnsi="仿宋_GB2312" w:eastAsia="仿宋_GB2312"/>
          <w:b/>
          <w:sz w:val="32"/>
        </w:rPr>
        <w:t>公用经费8.33万元，</w:t>
      </w:r>
      <w:r>
        <w:rPr>
          <w:rFonts w:ascii="仿宋_GB2312" w:hAnsi="仿宋_GB2312" w:eastAsia="仿宋_GB2312"/>
          <w:b w:val="0"/>
          <w:sz w:val="32"/>
        </w:rPr>
        <w:t>包括：劳务费。</w:t>
      </w:r>
    </w:p>
    <w:p w14:paraId="7024E66A">
      <w:pPr>
        <w:spacing w:line="640" w:lineRule="exact"/>
        <w:ind w:firstLine="640"/>
        <w:jc w:val="both"/>
        <w:outlineLvl w:val="2"/>
      </w:pPr>
      <w:r>
        <w:rPr>
          <w:rFonts w:ascii="黑体" w:hAnsi="黑体" w:eastAsia="黑体"/>
          <w:sz w:val="32"/>
        </w:rPr>
        <w:t>七、政府性基金预算财政拨款收入支出决算情况说明</w:t>
      </w:r>
    </w:p>
    <w:p w14:paraId="1AA8F4CA">
      <w:pPr>
        <w:spacing w:line="580" w:lineRule="exact"/>
        <w:ind w:firstLine="640"/>
        <w:jc w:val="both"/>
      </w:pPr>
      <w:r>
        <w:rPr>
          <w:rFonts w:ascii="仿宋_GB2312" w:hAnsi="仿宋_GB2312" w:eastAsia="仿宋_GB2312"/>
          <w:b/>
          <w:sz w:val="32"/>
        </w:rPr>
        <w:t>2024年度政府性基金预算财政拨款收入总计1.01万元，</w:t>
      </w:r>
      <w:r>
        <w:rPr>
          <w:rFonts w:ascii="仿宋_GB2312" w:hAnsi="仿宋_GB2312" w:eastAsia="仿宋_GB2312"/>
          <w:b w:val="0"/>
          <w:sz w:val="32"/>
        </w:rPr>
        <w:t>其中：年初结转和结余0.00万元，本年收入1.01万元。</w:t>
      </w:r>
      <w:r>
        <w:rPr>
          <w:rFonts w:ascii="仿宋_GB2312" w:hAnsi="仿宋_GB2312" w:eastAsia="仿宋_GB2312"/>
          <w:b/>
          <w:sz w:val="32"/>
        </w:rPr>
        <w:t>政府性基金预算财政拨款支出总计1.01万元，</w:t>
      </w:r>
      <w:r>
        <w:rPr>
          <w:rFonts w:ascii="仿宋_GB2312" w:hAnsi="仿宋_GB2312" w:eastAsia="仿宋_GB2312"/>
          <w:b w:val="0"/>
          <w:sz w:val="32"/>
        </w:rPr>
        <w:t>其中：年末结转和结余0.00万元，本年支出1.01万元。</w:t>
      </w:r>
    </w:p>
    <w:p w14:paraId="16E0EFC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增加1.01万元，增长100.00%，主要原因是：本年增加关于提前下达2024年中央专项彩票公益金支持地方社会公益事业发展医疗救助项目经费，导致相关经费增加。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年初预算数0.00万元，决算数1.01万元，预决算差异率100.00%，主要原因是：年中追加关于提前下达2024年中央专项彩票公益金支持地方社会公益事业发展医疗救助项目经费，导致预决算存在差异。</w:t>
      </w:r>
    </w:p>
    <w:p w14:paraId="4DFF8B1D">
      <w:pPr>
        <w:spacing w:line="580" w:lineRule="exact"/>
        <w:ind w:firstLine="640"/>
        <w:jc w:val="both"/>
      </w:pPr>
      <w:r>
        <w:rPr>
          <w:rFonts w:ascii="仿宋_GB2312" w:hAnsi="仿宋_GB2312" w:eastAsia="仿宋_GB2312"/>
          <w:b w:val="0"/>
          <w:sz w:val="32"/>
        </w:rPr>
        <w:t>政府性基金预算财政拨款支出1.01万元。</w:t>
      </w:r>
    </w:p>
    <w:p w14:paraId="29D3C46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1.01万元，比上年决算增加1.01万元，增长100.00%,主要原因是：本年增加关于提前下达2024年中央专项彩票公益金支持地方社会公益事业发</w:t>
      </w:r>
      <w:r>
        <w:rPr>
          <w:rFonts w:hint="eastAsia" w:ascii="仿宋_GB2312" w:hAnsi="仿宋_GB2312" w:eastAsia="仿宋_GB2312"/>
          <w:b w:val="0"/>
          <w:sz w:val="32"/>
          <w:lang w:eastAsia="zh-CN"/>
        </w:rPr>
        <w:t>展和</w:t>
      </w:r>
      <w:r>
        <w:rPr>
          <w:rFonts w:ascii="仿宋_GB2312" w:hAnsi="仿宋_GB2312" w:eastAsia="仿宋_GB2312"/>
          <w:b w:val="0"/>
          <w:sz w:val="32"/>
        </w:rPr>
        <w:t>医疗救助项目经费，导致相关经费增加。</w:t>
      </w:r>
    </w:p>
    <w:p w14:paraId="2666A3EF">
      <w:pPr>
        <w:spacing w:line="640" w:lineRule="exact"/>
        <w:ind w:firstLine="640"/>
        <w:jc w:val="both"/>
        <w:outlineLvl w:val="2"/>
      </w:pPr>
      <w:r>
        <w:rPr>
          <w:rFonts w:ascii="黑体" w:hAnsi="黑体" w:eastAsia="黑体"/>
          <w:sz w:val="32"/>
        </w:rPr>
        <w:t>八、国有资本经营预算财政拨款收入支出决算情况说明</w:t>
      </w:r>
    </w:p>
    <w:p w14:paraId="6B314B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DE82E3">
      <w:pPr>
        <w:spacing w:line="640" w:lineRule="exact"/>
        <w:ind w:firstLine="640"/>
        <w:jc w:val="both"/>
        <w:outlineLvl w:val="2"/>
      </w:pPr>
      <w:r>
        <w:rPr>
          <w:rFonts w:ascii="黑体" w:hAnsi="黑体" w:eastAsia="黑体"/>
          <w:sz w:val="32"/>
        </w:rPr>
        <w:t>九、财政拨款“三公”经费支出决算情况说明</w:t>
      </w:r>
    </w:p>
    <w:p w14:paraId="60D3437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8A87A75">
      <w:pPr>
        <w:spacing w:line="580" w:lineRule="exact"/>
        <w:ind w:firstLine="640"/>
        <w:jc w:val="both"/>
      </w:pPr>
      <w:r>
        <w:rPr>
          <w:rFonts w:ascii="仿宋_GB2312" w:hAnsi="仿宋_GB2312" w:eastAsia="仿宋_GB2312"/>
          <w:b/>
          <w:sz w:val="32"/>
        </w:rPr>
        <w:t>具体情况如下：</w:t>
      </w:r>
    </w:p>
    <w:p w14:paraId="576735A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E2CCC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w:t>
      </w:r>
    </w:p>
    <w:p w14:paraId="70DF7A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99623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524E5E7">
      <w:pPr>
        <w:spacing w:line="640" w:lineRule="exact"/>
        <w:ind w:firstLine="640"/>
        <w:jc w:val="both"/>
        <w:outlineLvl w:val="2"/>
      </w:pPr>
      <w:r>
        <w:rPr>
          <w:rFonts w:ascii="黑体" w:hAnsi="黑体" w:eastAsia="黑体"/>
          <w:sz w:val="32"/>
        </w:rPr>
        <w:t>十、其他重要事项的情况说明</w:t>
      </w:r>
    </w:p>
    <w:p w14:paraId="4C2A99EC">
      <w:pPr>
        <w:spacing w:line="640" w:lineRule="exact"/>
        <w:ind w:firstLine="640"/>
        <w:jc w:val="both"/>
        <w:outlineLvl w:val="3"/>
      </w:pPr>
      <w:r>
        <w:rPr>
          <w:rFonts w:ascii="楷体_GB2312" w:hAnsi="楷体_GB2312" w:eastAsia="楷体_GB2312"/>
          <w:b/>
          <w:sz w:val="32"/>
        </w:rPr>
        <w:t>（一）机关运行经费及公用经费支出情况</w:t>
      </w:r>
    </w:p>
    <w:p w14:paraId="5E2BF7D2">
      <w:pPr>
        <w:spacing w:line="580" w:lineRule="exact"/>
        <w:ind w:firstLine="640"/>
        <w:jc w:val="both"/>
      </w:pPr>
      <w:r>
        <w:rPr>
          <w:rFonts w:ascii="仿宋_GB2312" w:hAnsi="仿宋_GB2312" w:eastAsia="仿宋_GB2312"/>
          <w:b w:val="0"/>
          <w:sz w:val="32"/>
        </w:rPr>
        <w:t>2024年度阿克陶县巴仁乡卫生院（事业单位）公用经费支出8.33万元，比上年减少36.67万元，下降81.49%，主要原因是：本年减少专用设备购置经费，导致相关公用经费减少。</w:t>
      </w:r>
    </w:p>
    <w:p w14:paraId="7E083A75">
      <w:pPr>
        <w:spacing w:line="640" w:lineRule="exact"/>
        <w:ind w:firstLine="640"/>
        <w:jc w:val="both"/>
        <w:outlineLvl w:val="3"/>
      </w:pPr>
      <w:r>
        <w:rPr>
          <w:rFonts w:ascii="楷体_GB2312" w:hAnsi="楷体_GB2312" w:eastAsia="楷体_GB2312"/>
          <w:b/>
          <w:sz w:val="32"/>
        </w:rPr>
        <w:t>（二）政府采购情况</w:t>
      </w:r>
    </w:p>
    <w:p w14:paraId="602EC2BE">
      <w:pPr>
        <w:spacing w:line="580" w:lineRule="exact"/>
        <w:ind w:firstLine="640"/>
        <w:jc w:val="both"/>
      </w:pPr>
      <w:r>
        <w:rPr>
          <w:rFonts w:ascii="仿宋_GB2312" w:hAnsi="仿宋_GB2312" w:eastAsia="仿宋_GB2312"/>
          <w:b w:val="0"/>
          <w:sz w:val="32"/>
        </w:rPr>
        <w:t>2024年度政府采购支出总额40.76万元，其中：政府采购货物支出5.58万元、政府采购工程支出0.00万元、政府采购服务支出35.17万元。</w:t>
      </w:r>
    </w:p>
    <w:p w14:paraId="39E42D4F">
      <w:pPr>
        <w:spacing w:line="580" w:lineRule="exact"/>
        <w:ind w:firstLine="640"/>
        <w:jc w:val="both"/>
      </w:pPr>
      <w:r>
        <w:rPr>
          <w:rFonts w:ascii="仿宋_GB2312" w:hAnsi="仿宋_GB2312" w:eastAsia="仿宋_GB2312"/>
          <w:b w:val="0"/>
          <w:sz w:val="32"/>
        </w:rPr>
        <w:t>授予中小企业合同金额39.20万元，占政府采购支出总额的96.17%，其中：授予小微企业合同金额37.63万元，占政府采购支出总额的92.32%。</w:t>
      </w:r>
    </w:p>
    <w:p w14:paraId="669A025C">
      <w:pPr>
        <w:spacing w:line="640" w:lineRule="exact"/>
        <w:ind w:firstLine="640"/>
        <w:jc w:val="both"/>
        <w:outlineLvl w:val="3"/>
      </w:pPr>
      <w:r>
        <w:rPr>
          <w:rFonts w:ascii="楷体_GB2312" w:hAnsi="楷体_GB2312" w:eastAsia="楷体_GB2312"/>
          <w:b/>
          <w:sz w:val="32"/>
        </w:rPr>
        <w:t>（三）国有资产占用情况说明</w:t>
      </w:r>
    </w:p>
    <w:p w14:paraId="346A960B">
      <w:pPr>
        <w:spacing w:line="580" w:lineRule="exact"/>
        <w:ind w:firstLine="640"/>
        <w:jc w:val="both"/>
      </w:pPr>
      <w:r>
        <w:rPr>
          <w:rFonts w:ascii="仿宋_GB2312" w:hAnsi="仿宋_GB2312" w:eastAsia="仿宋_GB2312"/>
          <w:b w:val="0"/>
          <w:sz w:val="32"/>
        </w:rPr>
        <w:t>截至2024年12月31日，房屋14,328.94平方米，价值3,058.61万元。车辆3辆，价值48.63万元，其中：副部（省）级及以上领导用车0辆、主要负责人用车0辆、机要通信用车0辆、应急保障用车0辆、执法执勤用车0辆、特种专业技术用车2辆、离退休干部服务用车0辆、其他用车1辆，其他用车主要是：单位业务用车。单价100万元（含）以上设备（不含车辆）0台（套）。</w:t>
      </w:r>
    </w:p>
    <w:p w14:paraId="34AF2CD9">
      <w:pPr>
        <w:spacing w:line="640" w:lineRule="exact"/>
        <w:ind w:firstLine="640"/>
        <w:jc w:val="both"/>
        <w:outlineLvl w:val="2"/>
      </w:pPr>
      <w:r>
        <w:rPr>
          <w:rFonts w:ascii="黑体" w:hAnsi="黑体" w:eastAsia="黑体"/>
          <w:sz w:val="32"/>
        </w:rPr>
        <w:t>十一、预算绩效的情况说明</w:t>
      </w:r>
    </w:p>
    <w:p w14:paraId="56F01BBE">
      <w:pPr>
        <w:spacing w:line="580" w:lineRule="exact"/>
        <w:ind w:firstLine="640"/>
        <w:jc w:val="both"/>
      </w:pPr>
      <w:r>
        <w:rPr>
          <w:rFonts w:ascii="仿宋_GB2312" w:hAnsi="仿宋_GB2312" w:eastAsia="仿宋_GB2312"/>
          <w:b w:val="0"/>
          <w:sz w:val="32"/>
        </w:rPr>
        <w:t>根据预算绩效管理要求，本单位2024年度预算绩效管理形成整体支出绩效</w:t>
      </w:r>
      <w:bookmarkStart w:id="0" w:name="_GoBack"/>
      <w:r>
        <w:rPr>
          <w:rFonts w:ascii="仿宋_GB2312" w:hAnsi="仿宋_GB2312" w:eastAsia="仿宋_GB2312"/>
          <w:b w:val="0"/>
          <w:sz w:val="32"/>
        </w:rPr>
        <w:t>自评表1个，全年预算总额3,477.13万元，实际执行总额2,460.88万元；预算绩效评价项目0个，全年预算数0.00万元，全年执行数0.</w:t>
      </w:r>
      <w:bookmarkEnd w:id="0"/>
      <w:r>
        <w:rPr>
          <w:rFonts w:ascii="仿宋_GB2312" w:hAnsi="仿宋_GB2312" w:eastAsia="仿宋_GB2312"/>
          <w:b w:val="0"/>
          <w:sz w:val="32"/>
        </w:rPr>
        <w:t>00万元。预算绩效管理取得的成效：本年本单位无绩效自评项目。发现的问题及原因：本年本单位无绩效自评项目。下一步改进措施：本年本单位无绩效自评项目。具体附整体支出绩效自评表。</w:t>
      </w:r>
    </w:p>
    <w:p w14:paraId="59B2173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C3C94AC">
        <w:tblPrEx>
          <w:tblCellMar>
            <w:top w:w="0" w:type="dxa"/>
            <w:left w:w="108" w:type="dxa"/>
            <w:bottom w:w="0" w:type="dxa"/>
            <w:right w:w="108" w:type="dxa"/>
          </w:tblCellMar>
        </w:tblPrEx>
        <w:tc>
          <w:tcPr>
            <w:tcW w:w="8840" w:type="dxa"/>
            <w:gridSpan w:val="8"/>
            <w:vAlign w:val="center"/>
          </w:tcPr>
          <w:p w14:paraId="5DA503B9">
            <w:pPr>
              <w:jc w:val="center"/>
            </w:pPr>
            <w:r>
              <w:rPr>
                <w:rFonts w:ascii="宋体" w:hAnsi="宋体" w:eastAsia="宋体"/>
                <w:sz w:val="24"/>
              </w:rPr>
              <w:t>单位整体支出绩效自评表</w:t>
            </w:r>
          </w:p>
        </w:tc>
      </w:tr>
      <w:tr w14:paraId="1B392F17">
        <w:tblPrEx>
          <w:tblCellMar>
            <w:top w:w="0" w:type="dxa"/>
            <w:left w:w="108" w:type="dxa"/>
            <w:bottom w:w="0" w:type="dxa"/>
            <w:right w:w="108" w:type="dxa"/>
          </w:tblCellMar>
        </w:tblPrEx>
        <w:tc>
          <w:tcPr>
            <w:tcW w:w="8840" w:type="dxa"/>
            <w:gridSpan w:val="8"/>
            <w:vAlign w:val="center"/>
          </w:tcPr>
          <w:p w14:paraId="5283920D">
            <w:pPr>
              <w:jc w:val="center"/>
            </w:pPr>
            <w:r>
              <w:rPr>
                <w:rFonts w:ascii="宋体" w:hAnsi="宋体" w:eastAsia="宋体"/>
                <w:sz w:val="24"/>
              </w:rPr>
              <w:t>（2024年度）</w:t>
            </w:r>
          </w:p>
        </w:tc>
      </w:tr>
      <w:tr w14:paraId="172B5C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CC2C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56E51">
            <w:pPr>
              <w:jc w:val="center"/>
            </w:pPr>
            <w:r>
              <w:rPr>
                <w:rFonts w:ascii="宋体" w:hAnsi="宋体" w:eastAsia="宋体"/>
                <w:sz w:val="16"/>
              </w:rPr>
              <w:t>阿克陶县巴仁乡卫生院</w:t>
            </w:r>
          </w:p>
        </w:tc>
      </w:tr>
      <w:tr w14:paraId="5B8A45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2DBF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000B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A46A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893A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AF39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4082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3FF3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6CE50">
            <w:pPr>
              <w:jc w:val="center"/>
            </w:pPr>
            <w:r>
              <w:rPr>
                <w:rFonts w:ascii="宋体" w:hAnsi="宋体" w:eastAsia="宋体"/>
                <w:sz w:val="16"/>
              </w:rPr>
              <w:t>得分</w:t>
            </w:r>
          </w:p>
        </w:tc>
      </w:tr>
      <w:tr w14:paraId="022713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7B64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0841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0C129">
            <w:pPr>
              <w:jc w:val="center"/>
            </w:pPr>
            <w:r>
              <w:rPr>
                <w:rFonts w:ascii="宋体" w:hAnsi="宋体" w:eastAsia="宋体"/>
                <w:sz w:val="16"/>
              </w:rPr>
              <w:t>1,212.35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0879B">
            <w:pPr>
              <w:jc w:val="center"/>
            </w:pPr>
            <w:r>
              <w:rPr>
                <w:rFonts w:ascii="宋体" w:hAnsi="宋体" w:eastAsia="宋体"/>
                <w:sz w:val="16"/>
              </w:rPr>
              <w:t>3,477.13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E91B6">
            <w:pPr>
              <w:jc w:val="center"/>
            </w:pPr>
            <w:r>
              <w:rPr>
                <w:rFonts w:ascii="宋体" w:hAnsi="宋体" w:eastAsia="宋体"/>
                <w:sz w:val="16"/>
              </w:rPr>
              <w:t>2,460.88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9AC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251FC">
            <w:pPr>
              <w:jc w:val="center"/>
            </w:pPr>
            <w:r>
              <w:rPr>
                <w:rFonts w:ascii="宋体" w:hAnsi="宋体" w:eastAsia="宋体"/>
                <w:sz w:val="16"/>
              </w:rPr>
              <w:t>70.77%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1D225">
            <w:pPr>
              <w:jc w:val="center"/>
            </w:pPr>
            <w:r>
              <w:rPr>
                <w:rFonts w:ascii="宋体" w:hAnsi="宋体" w:eastAsia="宋体"/>
                <w:sz w:val="16"/>
              </w:rPr>
              <w:t>7.1</w:t>
            </w:r>
          </w:p>
        </w:tc>
      </w:tr>
      <w:tr w14:paraId="4D5E90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7AE2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F616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A7F8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DFD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FE33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AE7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293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28E66">
            <w:pPr>
              <w:jc w:val="center"/>
            </w:pPr>
            <w:r>
              <w:rPr>
                <w:rFonts w:ascii="宋体" w:hAnsi="宋体" w:eastAsia="宋体"/>
                <w:sz w:val="16"/>
              </w:rPr>
              <w:t>—</w:t>
            </w:r>
          </w:p>
        </w:tc>
      </w:tr>
      <w:tr w14:paraId="179568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AFC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B75C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69215">
            <w:pPr>
              <w:jc w:val="center"/>
            </w:pPr>
            <w:r>
              <w:rPr>
                <w:rFonts w:ascii="宋体" w:hAnsi="宋体" w:eastAsia="宋体"/>
                <w:sz w:val="16"/>
              </w:rPr>
              <w:t>1,212.35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FF24B">
            <w:pPr>
              <w:jc w:val="center"/>
            </w:pPr>
            <w:r>
              <w:rPr>
                <w:rFonts w:ascii="宋体" w:hAnsi="宋体" w:eastAsia="宋体"/>
                <w:sz w:val="16"/>
              </w:rPr>
              <w:t>3,477.13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95A70">
            <w:pPr>
              <w:jc w:val="center"/>
            </w:pPr>
            <w:r>
              <w:rPr>
                <w:rFonts w:ascii="宋体" w:hAnsi="宋体" w:eastAsia="宋体"/>
                <w:sz w:val="16"/>
              </w:rPr>
              <w:t>2,460.88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74D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D9B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2D2BD">
            <w:pPr>
              <w:jc w:val="center"/>
            </w:pPr>
            <w:r>
              <w:rPr>
                <w:rFonts w:ascii="宋体" w:hAnsi="宋体" w:eastAsia="宋体"/>
                <w:sz w:val="16"/>
              </w:rPr>
              <w:t>—</w:t>
            </w:r>
          </w:p>
        </w:tc>
      </w:tr>
      <w:tr w14:paraId="1955A7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6EC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934D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283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A75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D6E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73F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D0C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FBEFD">
            <w:pPr>
              <w:jc w:val="center"/>
            </w:pPr>
            <w:r>
              <w:rPr>
                <w:rFonts w:ascii="宋体" w:hAnsi="宋体" w:eastAsia="宋体"/>
                <w:sz w:val="16"/>
              </w:rPr>
              <w:t>—</w:t>
            </w:r>
          </w:p>
        </w:tc>
      </w:tr>
      <w:tr w14:paraId="548B24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EB31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C40D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D721EC">
            <w:pPr>
              <w:jc w:val="center"/>
            </w:pPr>
            <w:r>
              <w:rPr>
                <w:rFonts w:ascii="宋体" w:hAnsi="宋体" w:eastAsia="宋体"/>
                <w:sz w:val="16"/>
              </w:rPr>
              <w:t>实际完成情况</w:t>
            </w:r>
          </w:p>
        </w:tc>
      </w:tr>
      <w:tr w14:paraId="196159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E46B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97C8BD">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2C2DC8">
            <w:pPr>
              <w:jc w:val="both"/>
            </w:pPr>
            <w:r>
              <w:rPr>
                <w:rFonts w:ascii="宋体" w:hAnsi="宋体" w:eastAsia="宋体"/>
                <w:sz w:val="16"/>
              </w:rPr>
              <w:t>本年度按时发放单位在职人数56人、退休人数10人,公岗28人等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3D9018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B63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BECD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B7E8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941C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4125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F27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4349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A5115">
            <w:pPr>
              <w:jc w:val="center"/>
            </w:pPr>
            <w:r>
              <w:rPr>
                <w:rFonts w:ascii="宋体" w:hAnsi="宋体" w:eastAsia="宋体"/>
                <w:sz w:val="16"/>
              </w:rPr>
              <w:t>得分</w:t>
            </w:r>
          </w:p>
        </w:tc>
      </w:tr>
      <w:tr w14:paraId="7331DC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58E5F">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DA1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308FE">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9E105">
            <w:pPr>
              <w:jc w:val="center"/>
            </w:pPr>
            <w:r>
              <w:rPr>
                <w:rFonts w:ascii="宋体" w:hAnsi="宋体" w:eastAsia="宋体"/>
                <w:sz w:val="16"/>
              </w:rPr>
              <w:t>&gt;=84人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C72E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9F7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78B99">
            <w:pPr>
              <w:jc w:val="center"/>
            </w:pPr>
            <w:r>
              <w:rPr>
                <w:rFonts w:ascii="宋体" w:hAnsi="宋体" w:eastAsia="宋体"/>
                <w:sz w:val="16"/>
              </w:rPr>
              <w:t>=94人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D0A95">
            <w:pPr>
              <w:jc w:val="center"/>
            </w:pPr>
            <w:r>
              <w:rPr>
                <w:rFonts w:ascii="宋体" w:hAnsi="宋体" w:eastAsia="宋体"/>
                <w:sz w:val="16"/>
              </w:rPr>
              <w:t>8.9</w:t>
            </w:r>
          </w:p>
        </w:tc>
      </w:tr>
      <w:tr w14:paraId="05F15E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91EC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E147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E68DB">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F06DE">
            <w:pPr>
              <w:jc w:val="center"/>
            </w:pPr>
            <w:r>
              <w:rPr>
                <w:rFonts w:ascii="宋体" w:hAnsi="宋体" w:eastAsia="宋体"/>
                <w:sz w:val="16"/>
              </w:rPr>
              <w:t>&lt;=1212.35万元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9082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0BF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11A4F">
            <w:pPr>
              <w:jc w:val="center"/>
            </w:pPr>
            <w:r>
              <w:rPr>
                <w:rFonts w:ascii="宋体" w:hAnsi="宋体" w:eastAsia="宋体"/>
                <w:sz w:val="16"/>
              </w:rPr>
              <w:t>=2460.88万元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A7164">
            <w:pPr>
              <w:jc w:val="center"/>
            </w:pPr>
            <w:r>
              <w:rPr>
                <w:rFonts w:ascii="宋体" w:hAnsi="宋体" w:eastAsia="宋体"/>
                <w:sz w:val="16"/>
              </w:rPr>
              <w:t>4.9</w:t>
            </w:r>
          </w:p>
        </w:tc>
      </w:tr>
      <w:tr w14:paraId="0D467C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083B4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6CC6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AC278">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055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3E5C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F0CC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8F3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F3933">
            <w:pPr>
              <w:jc w:val="center"/>
            </w:pPr>
            <w:r>
              <w:rPr>
                <w:rFonts w:ascii="宋体" w:hAnsi="宋体" w:eastAsia="宋体"/>
                <w:sz w:val="16"/>
              </w:rPr>
              <w:t>20</w:t>
            </w:r>
          </w:p>
        </w:tc>
      </w:tr>
      <w:tr w14:paraId="65C650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8B3F7">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055D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A4127">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0FFB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6B64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4A2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C5CF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5BB98">
            <w:pPr>
              <w:jc w:val="center"/>
            </w:pPr>
            <w:r>
              <w:rPr>
                <w:rFonts w:ascii="宋体" w:hAnsi="宋体" w:eastAsia="宋体"/>
                <w:sz w:val="16"/>
              </w:rPr>
              <w:t>10</w:t>
            </w:r>
          </w:p>
        </w:tc>
      </w:tr>
      <w:tr w14:paraId="4EC7CB9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EEC1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F6CB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783C1">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6DFB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C251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68A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1A8A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90870">
            <w:pPr>
              <w:jc w:val="center"/>
            </w:pPr>
            <w:r>
              <w:rPr>
                <w:rFonts w:ascii="宋体" w:hAnsi="宋体" w:eastAsia="宋体"/>
                <w:sz w:val="16"/>
              </w:rPr>
              <w:t>10</w:t>
            </w:r>
          </w:p>
        </w:tc>
      </w:tr>
      <w:tr w14:paraId="598BD8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F8A4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160F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1F97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B2E9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CE41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C694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1A01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86D9C">
            <w:pPr>
              <w:jc w:val="center"/>
            </w:pPr>
            <w:r>
              <w:rPr>
                <w:rFonts w:ascii="宋体" w:hAnsi="宋体" w:eastAsia="宋体"/>
                <w:sz w:val="16"/>
              </w:rPr>
              <w:t>20</w:t>
            </w:r>
          </w:p>
        </w:tc>
      </w:tr>
      <w:tr w14:paraId="72527F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19CF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31D1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70E48">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9027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26D0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AEB9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992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94B2A">
            <w:pPr>
              <w:jc w:val="center"/>
            </w:pPr>
            <w:r>
              <w:rPr>
                <w:rFonts w:ascii="宋体" w:hAnsi="宋体" w:eastAsia="宋体"/>
                <w:sz w:val="16"/>
              </w:rPr>
              <w:t>5</w:t>
            </w:r>
          </w:p>
        </w:tc>
      </w:tr>
      <w:tr w14:paraId="04CE4A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7055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BE6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B184E">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BE1F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50CA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ADB0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DA8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7F383">
            <w:pPr>
              <w:jc w:val="center"/>
            </w:pPr>
            <w:r>
              <w:rPr>
                <w:rFonts w:ascii="宋体" w:hAnsi="宋体" w:eastAsia="宋体"/>
                <w:sz w:val="16"/>
              </w:rPr>
              <w:t>5</w:t>
            </w:r>
          </w:p>
        </w:tc>
      </w:tr>
    </w:tbl>
    <w:p w14:paraId="44491FA6">
      <w:r>
        <w:br w:type="page"/>
      </w:r>
    </w:p>
    <w:p w14:paraId="51205A73">
      <w:pPr>
        <w:spacing w:line="640" w:lineRule="exact"/>
        <w:ind w:firstLine="640"/>
        <w:jc w:val="both"/>
        <w:outlineLvl w:val="2"/>
      </w:pPr>
      <w:r>
        <w:rPr>
          <w:rFonts w:ascii="黑体" w:hAnsi="黑体" w:eastAsia="黑体"/>
          <w:sz w:val="32"/>
        </w:rPr>
        <w:t>十二、其他需说明的事项</w:t>
      </w:r>
    </w:p>
    <w:p w14:paraId="762B90A5">
      <w:pPr>
        <w:spacing w:line="580" w:lineRule="exact"/>
        <w:ind w:firstLine="640"/>
        <w:jc w:val="both"/>
      </w:pPr>
      <w:r>
        <w:rPr>
          <w:rFonts w:ascii="仿宋_GB2312" w:hAnsi="仿宋_GB2312" w:eastAsia="仿宋_GB2312"/>
          <w:b w:val="0"/>
          <w:sz w:val="32"/>
        </w:rPr>
        <w:t>本单位无其他需说明的事项。</w:t>
      </w:r>
    </w:p>
    <w:p w14:paraId="16453AAE">
      <w:r>
        <w:br w:type="page"/>
      </w:r>
    </w:p>
    <w:p w14:paraId="74CDB93B">
      <w:pPr>
        <w:spacing w:line="240" w:lineRule="auto"/>
        <w:jc w:val="center"/>
        <w:outlineLvl w:val="1"/>
      </w:pPr>
      <w:r>
        <w:rPr>
          <w:rFonts w:ascii="黑体" w:hAnsi="黑体" w:eastAsia="黑体"/>
          <w:sz w:val="32"/>
        </w:rPr>
        <w:t>第三部分 专业名词解释</w:t>
      </w:r>
    </w:p>
    <w:p w14:paraId="41C9F00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06384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B3F5D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08B58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0C777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00EA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BEC3B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37551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3E207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2EC7C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22B2F7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B9F4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7B92D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C2E3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17E523">
      <w:r>
        <w:br w:type="page"/>
      </w:r>
    </w:p>
    <w:p w14:paraId="3C0B7427">
      <w:pPr>
        <w:spacing w:line="240" w:lineRule="auto"/>
        <w:jc w:val="center"/>
        <w:outlineLvl w:val="1"/>
      </w:pPr>
      <w:r>
        <w:rPr>
          <w:rFonts w:ascii="黑体" w:hAnsi="黑体" w:eastAsia="黑体"/>
          <w:sz w:val="32"/>
        </w:rPr>
        <w:t>第四部分 部门决算报表（见附表）</w:t>
      </w:r>
    </w:p>
    <w:p w14:paraId="6B7CE93E">
      <w:pPr>
        <w:spacing w:line="240" w:lineRule="auto"/>
        <w:ind w:firstLine="640"/>
        <w:jc w:val="both"/>
      </w:pPr>
      <w:r>
        <w:rPr>
          <w:rFonts w:ascii="仿宋_GB2312" w:hAnsi="仿宋_GB2312" w:eastAsia="仿宋_GB2312"/>
          <w:b w:val="0"/>
          <w:sz w:val="32"/>
        </w:rPr>
        <w:t>一、《收入支出决算总表》</w:t>
      </w:r>
    </w:p>
    <w:p w14:paraId="0B19CD8E">
      <w:pPr>
        <w:spacing w:line="240" w:lineRule="auto"/>
        <w:ind w:firstLine="640"/>
        <w:jc w:val="both"/>
      </w:pPr>
      <w:r>
        <w:rPr>
          <w:rFonts w:ascii="仿宋_GB2312" w:hAnsi="仿宋_GB2312" w:eastAsia="仿宋_GB2312"/>
          <w:b w:val="0"/>
          <w:sz w:val="32"/>
        </w:rPr>
        <w:t>二、《收入决算表》</w:t>
      </w:r>
    </w:p>
    <w:p w14:paraId="1B4AD704">
      <w:pPr>
        <w:spacing w:line="240" w:lineRule="auto"/>
        <w:ind w:firstLine="640"/>
        <w:jc w:val="both"/>
      </w:pPr>
      <w:r>
        <w:rPr>
          <w:rFonts w:ascii="仿宋_GB2312" w:hAnsi="仿宋_GB2312" w:eastAsia="仿宋_GB2312"/>
          <w:b w:val="0"/>
          <w:sz w:val="32"/>
        </w:rPr>
        <w:t>三、《支出决算表》</w:t>
      </w:r>
    </w:p>
    <w:p w14:paraId="1656FD6B">
      <w:pPr>
        <w:spacing w:line="240" w:lineRule="auto"/>
        <w:ind w:firstLine="640"/>
        <w:jc w:val="both"/>
      </w:pPr>
      <w:r>
        <w:rPr>
          <w:rFonts w:ascii="仿宋_GB2312" w:hAnsi="仿宋_GB2312" w:eastAsia="仿宋_GB2312"/>
          <w:b w:val="0"/>
          <w:sz w:val="32"/>
        </w:rPr>
        <w:t>四、《财政拨款收入支出决算总表》</w:t>
      </w:r>
    </w:p>
    <w:p w14:paraId="4BD48A82">
      <w:pPr>
        <w:spacing w:line="240" w:lineRule="auto"/>
        <w:ind w:firstLine="640"/>
        <w:jc w:val="both"/>
      </w:pPr>
      <w:r>
        <w:rPr>
          <w:rFonts w:ascii="仿宋_GB2312" w:hAnsi="仿宋_GB2312" w:eastAsia="仿宋_GB2312"/>
          <w:b w:val="0"/>
          <w:sz w:val="32"/>
        </w:rPr>
        <w:t>五、《一般公共预算财政拨款支出决算表》</w:t>
      </w:r>
    </w:p>
    <w:p w14:paraId="542CA120">
      <w:pPr>
        <w:spacing w:line="240" w:lineRule="auto"/>
        <w:ind w:firstLine="640"/>
        <w:jc w:val="both"/>
      </w:pPr>
      <w:r>
        <w:rPr>
          <w:rFonts w:ascii="仿宋_GB2312" w:hAnsi="仿宋_GB2312" w:eastAsia="仿宋_GB2312"/>
          <w:b w:val="0"/>
          <w:sz w:val="32"/>
        </w:rPr>
        <w:t>六、《一般公共预算财政拨款基本支出决算表》</w:t>
      </w:r>
    </w:p>
    <w:p w14:paraId="5D0FBBBE">
      <w:pPr>
        <w:spacing w:line="240" w:lineRule="auto"/>
        <w:ind w:firstLine="640"/>
        <w:jc w:val="both"/>
      </w:pPr>
      <w:r>
        <w:rPr>
          <w:rFonts w:ascii="仿宋_GB2312" w:hAnsi="仿宋_GB2312" w:eastAsia="仿宋_GB2312"/>
          <w:b w:val="0"/>
          <w:sz w:val="32"/>
        </w:rPr>
        <w:t>七、《政府性基金预算财政拨款收入支出决算表》</w:t>
      </w:r>
    </w:p>
    <w:p w14:paraId="4CF7883C">
      <w:pPr>
        <w:spacing w:line="240" w:lineRule="auto"/>
        <w:ind w:firstLine="640"/>
        <w:jc w:val="both"/>
      </w:pPr>
      <w:r>
        <w:rPr>
          <w:rFonts w:ascii="仿宋_GB2312" w:hAnsi="仿宋_GB2312" w:eastAsia="仿宋_GB2312"/>
          <w:b w:val="0"/>
          <w:sz w:val="32"/>
        </w:rPr>
        <w:t>八、《国有资本经营预算财政拨款收入支出决算表》</w:t>
      </w:r>
    </w:p>
    <w:p w14:paraId="3CD32D90">
      <w:pPr>
        <w:spacing w:line="240" w:lineRule="auto"/>
        <w:ind w:firstLine="640"/>
        <w:jc w:val="both"/>
      </w:pPr>
      <w:r>
        <w:rPr>
          <w:rFonts w:ascii="仿宋_GB2312" w:hAnsi="仿宋_GB2312" w:eastAsia="仿宋_GB2312"/>
          <w:b w:val="0"/>
          <w:sz w:val="32"/>
        </w:rPr>
        <w:t>九、《财政拨款“三公”经费支出决算表》</w:t>
      </w:r>
    </w:p>
    <w:p w14:paraId="07BBA183">
      <w:pPr>
        <w:spacing w:line="240" w:lineRule="auto"/>
        <w:ind w:firstLine="640"/>
        <w:jc w:val="both"/>
      </w:pPr>
    </w:p>
    <w:p w14:paraId="42DF2D4E">
      <w:pPr>
        <w:spacing w:line="240" w:lineRule="auto"/>
        <w:ind w:firstLine="640"/>
        <w:jc w:val="both"/>
      </w:pPr>
    </w:p>
    <w:p w14:paraId="78CE5B2E">
      <w:pPr>
        <w:spacing w:line="240" w:lineRule="auto"/>
        <w:ind w:firstLine="640"/>
        <w:jc w:val="both"/>
      </w:pPr>
    </w:p>
    <w:p w14:paraId="43006B55">
      <w:pPr>
        <w:spacing w:line="240" w:lineRule="auto"/>
        <w:ind w:firstLine="640"/>
        <w:jc w:val="both"/>
      </w:pPr>
    </w:p>
    <w:p w14:paraId="397ECF6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B7525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65DDA"/>
    <w:rsid w:val="5AFC6609"/>
    <w:rsid w:val="5FA17648"/>
    <w:rsid w:val="5FD320BD"/>
    <w:rsid w:val="60DE4D57"/>
    <w:rsid w:val="613409CB"/>
    <w:rsid w:val="61A46A97"/>
    <w:rsid w:val="62DD7D21"/>
    <w:rsid w:val="65D97752"/>
    <w:rsid w:val="664C500C"/>
    <w:rsid w:val="66D512E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5253</Words>
  <Characters>6142</Characters>
  <Lines>0</Lines>
  <Paragraphs>0</Paragraphs>
  <TotalTime>6</TotalTime>
  <ScaleCrop>false</ScaleCrop>
  <LinksUpToDate>false</LinksUpToDate>
  <CharactersWithSpaces>6150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