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阿克陶县种子管理站2024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0721E58">
      <w:r>
        <w:br w:type="page"/>
      </w:r>
    </w:p>
    <w:p w14:paraId="65F3F4E7">
      <w:pPr>
        <w:spacing w:line="640" w:lineRule="exact"/>
        <w:jc w:val="center"/>
        <w:outlineLvl w:val="1"/>
      </w:pPr>
      <w:r>
        <w:rPr>
          <w:rFonts w:ascii="黑体" w:hAnsi="黑体" w:eastAsia="黑体"/>
          <w:sz w:val="32"/>
        </w:rPr>
        <w:t>第一部分 单位概况</w:t>
      </w:r>
    </w:p>
    <w:p w14:paraId="16E480C2">
      <w:pPr>
        <w:spacing w:line="640" w:lineRule="exact"/>
        <w:ind w:firstLine="640"/>
        <w:jc w:val="both"/>
        <w:outlineLvl w:val="2"/>
      </w:pPr>
      <w:r>
        <w:rPr>
          <w:rFonts w:ascii="黑体" w:hAnsi="黑体" w:eastAsia="黑体"/>
          <w:sz w:val="32"/>
        </w:rPr>
        <w:t>一、主要职能</w:t>
      </w:r>
    </w:p>
    <w:p w14:paraId="4A8EA6F0">
      <w:pPr>
        <w:spacing w:line="580" w:lineRule="exact"/>
        <w:ind w:firstLine="640"/>
        <w:jc w:val="both"/>
      </w:pPr>
      <w:r>
        <w:rPr>
          <w:rFonts w:ascii="仿宋_GB2312" w:hAnsi="仿宋_GB2312" w:eastAsia="仿宋_GB2312"/>
          <w:sz w:val="32"/>
        </w:rPr>
        <w:t>管理种子事宜，促进农业发展。农作物新品种区域实验，农作物新品种审定。农作物种子质量管理，农作物种子执法监督体系指导农作物种子（生产｜经营）许可证管理。</w:t>
      </w:r>
    </w:p>
    <w:p w14:paraId="493CFEDE">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贯彻执行有关农作物种子的法律法规和规章。</w:t>
      </w:r>
    </w:p>
    <w:p w14:paraId="40DE1494">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编制农作物种子发展规划、组织实施农作物品种引进、区域试验、示范繁育推广计划、发布信息。</w:t>
      </w:r>
    </w:p>
    <w:p w14:paraId="6C38E2AA">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负责农作物品种管理。</w:t>
      </w:r>
    </w:p>
    <w:p w14:paraId="5DB69A07">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核发、管理农作物种子生产、经营许可证，监督农作物种子生产、经营活动和种子质量。</w:t>
      </w:r>
    </w:p>
    <w:p w14:paraId="6023A314">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培训农作物种子专业技术人员和管理人员。</w:t>
      </w:r>
    </w:p>
    <w:p w14:paraId="00B3882D">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依法查处生产、经营农作物种子的违法行为。</w:t>
      </w:r>
    </w:p>
    <w:p w14:paraId="35FFCD96">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法律法规规定的其他职责。</w:t>
      </w:r>
    </w:p>
    <w:p w14:paraId="45F8FD70">
      <w:pPr>
        <w:spacing w:line="640" w:lineRule="exact"/>
        <w:ind w:firstLine="640"/>
        <w:jc w:val="both"/>
        <w:outlineLvl w:val="2"/>
      </w:pPr>
      <w:r>
        <w:rPr>
          <w:rFonts w:ascii="黑体" w:hAnsi="黑体" w:eastAsia="黑体"/>
          <w:sz w:val="32"/>
        </w:rPr>
        <w:t>二、机构设置及人员情况</w:t>
      </w:r>
    </w:p>
    <w:p w14:paraId="35B6ED46">
      <w:pPr>
        <w:spacing w:line="580" w:lineRule="exact"/>
        <w:ind w:firstLine="640"/>
        <w:jc w:val="both"/>
      </w:pPr>
      <w:r>
        <w:rPr>
          <w:rFonts w:ascii="仿宋_GB2312" w:hAnsi="仿宋_GB2312" w:eastAsia="仿宋_GB2312"/>
          <w:sz w:val="32"/>
        </w:rPr>
        <w:t>阿克陶县种子管理站2024年度，实有人数22人，其中：在职人员8人，增加0人；离休人员0人，增加0人；退休人员14人,增加0人。</w:t>
      </w:r>
    </w:p>
    <w:p w14:paraId="2AEB543E">
      <w:pPr>
        <w:spacing w:line="580" w:lineRule="exact"/>
        <w:ind w:firstLine="640"/>
        <w:jc w:val="both"/>
      </w:pPr>
      <w:r>
        <w:rPr>
          <w:rFonts w:ascii="仿宋_GB2312" w:hAnsi="仿宋_GB2312" w:eastAsia="仿宋_GB2312"/>
          <w:sz w:val="32"/>
        </w:rPr>
        <w:t>阿克陶县种子管理站无下属预算单位，下设3个科室，分别是：财务室、办公室、档案室。</w:t>
      </w:r>
    </w:p>
    <w:p w14:paraId="24C8438D">
      <w:r>
        <w:br w:type="page"/>
      </w:r>
    </w:p>
    <w:p w14:paraId="3D73ED01">
      <w:pPr>
        <w:spacing w:line="240" w:lineRule="auto"/>
        <w:jc w:val="center"/>
        <w:outlineLvl w:val="1"/>
      </w:pPr>
      <w:r>
        <w:rPr>
          <w:rFonts w:ascii="黑体" w:hAnsi="黑体" w:eastAsia="黑体"/>
          <w:sz w:val="32"/>
        </w:rPr>
        <w:t>第二部分 部门决算情况说明</w:t>
      </w:r>
    </w:p>
    <w:p w14:paraId="1C3D8C32">
      <w:pPr>
        <w:spacing w:line="640" w:lineRule="exact"/>
        <w:ind w:firstLine="640"/>
        <w:jc w:val="both"/>
        <w:outlineLvl w:val="2"/>
      </w:pPr>
      <w:r>
        <w:rPr>
          <w:rFonts w:ascii="黑体" w:hAnsi="黑体" w:eastAsia="黑体"/>
          <w:sz w:val="32"/>
        </w:rPr>
        <w:t>一、收入支出决算总体情况说明</w:t>
      </w:r>
    </w:p>
    <w:p w14:paraId="5C3218B5">
      <w:pPr>
        <w:spacing w:line="580" w:lineRule="exact"/>
        <w:ind w:firstLine="640"/>
        <w:jc w:val="both"/>
      </w:pPr>
      <w:r>
        <w:rPr>
          <w:rFonts w:ascii="仿宋_GB2312" w:hAnsi="仿宋_GB2312" w:eastAsia="仿宋_GB2312"/>
          <w:b/>
          <w:sz w:val="32"/>
        </w:rPr>
        <w:t>2024年度收入总计236.97万元，</w:t>
      </w:r>
      <w:r>
        <w:rPr>
          <w:rFonts w:ascii="仿宋_GB2312" w:hAnsi="仿宋_GB2312" w:eastAsia="仿宋_GB2312"/>
          <w:b w:val="0"/>
          <w:sz w:val="32"/>
        </w:rPr>
        <w:t>其中：本年收入合计236.97万元，使用非财政拨款结余（含专用结余）0.00万元，年初结转和结余0.00万元。</w:t>
      </w:r>
    </w:p>
    <w:p w14:paraId="2172F26B">
      <w:pPr>
        <w:spacing w:line="580" w:lineRule="exact"/>
        <w:ind w:firstLine="640"/>
        <w:jc w:val="both"/>
      </w:pPr>
      <w:r>
        <w:rPr>
          <w:rFonts w:ascii="仿宋_GB2312" w:hAnsi="仿宋_GB2312" w:eastAsia="仿宋_GB2312"/>
          <w:b/>
          <w:sz w:val="32"/>
        </w:rPr>
        <w:t>2024年度支出总计236.97万元，</w:t>
      </w:r>
      <w:r>
        <w:rPr>
          <w:rFonts w:ascii="仿宋_GB2312" w:hAnsi="仿宋_GB2312" w:eastAsia="仿宋_GB2312"/>
          <w:b w:val="0"/>
          <w:sz w:val="32"/>
        </w:rPr>
        <w:t>其中：本年支出合计236.97万元，结余分配0.00万元，年末结转和结余0.00万元。</w:t>
      </w:r>
    </w:p>
    <w:p w14:paraId="057F1D50">
      <w:pPr>
        <w:spacing w:line="580" w:lineRule="exact"/>
        <w:ind w:firstLine="640"/>
        <w:jc w:val="both"/>
      </w:pPr>
      <w:r>
        <w:rPr>
          <w:rFonts w:ascii="仿宋_GB2312" w:hAnsi="仿宋_GB2312" w:eastAsia="仿宋_GB2312"/>
          <w:b w:val="0"/>
          <w:sz w:val="32"/>
        </w:rPr>
        <w:t>收入支出总体与上年相比，增加23.19万元，增长10.85%，主要原因是：</w:t>
      </w:r>
      <w:r>
        <w:rPr>
          <w:rFonts w:hint="eastAsia" w:ascii="仿宋_GB2312" w:hAnsi="仿宋_GB2312" w:eastAsia="仿宋_GB2312"/>
          <w:b w:val="0"/>
          <w:sz w:val="32"/>
          <w:lang w:val="en-US" w:eastAsia="zh-CN"/>
        </w:rPr>
        <w:t>本年</w:t>
      </w:r>
      <w:bookmarkStart w:id="0" w:name="_GoBack"/>
      <w:bookmarkEnd w:id="0"/>
      <w:r>
        <w:rPr>
          <w:rFonts w:ascii="仿宋_GB2312" w:hAnsi="仿宋_GB2312" w:eastAsia="仿宋_GB2312"/>
          <w:b w:val="0"/>
          <w:sz w:val="32"/>
        </w:rPr>
        <w:t>增加跨域玉米品种区域适应性试验项目。</w:t>
      </w:r>
    </w:p>
    <w:p w14:paraId="77B53C3C">
      <w:pPr>
        <w:spacing w:line="640" w:lineRule="exact"/>
        <w:ind w:firstLine="640"/>
        <w:jc w:val="both"/>
        <w:outlineLvl w:val="2"/>
      </w:pPr>
      <w:r>
        <w:rPr>
          <w:rFonts w:ascii="黑体" w:hAnsi="黑体" w:eastAsia="黑体"/>
          <w:sz w:val="32"/>
        </w:rPr>
        <w:t>二、收入决算情况说明</w:t>
      </w:r>
    </w:p>
    <w:p w14:paraId="35A3D7FB">
      <w:pPr>
        <w:spacing w:line="580" w:lineRule="exact"/>
        <w:ind w:firstLine="640"/>
        <w:jc w:val="both"/>
      </w:pPr>
      <w:r>
        <w:rPr>
          <w:rFonts w:ascii="仿宋_GB2312" w:hAnsi="仿宋_GB2312" w:eastAsia="仿宋_GB2312"/>
          <w:b/>
          <w:sz w:val="32"/>
        </w:rPr>
        <w:t>本年收入236.97万元，</w:t>
      </w:r>
      <w:r>
        <w:rPr>
          <w:rFonts w:ascii="仿宋_GB2312" w:hAnsi="仿宋_GB2312" w:eastAsia="仿宋_GB2312"/>
          <w:b w:val="0"/>
          <w:sz w:val="32"/>
        </w:rPr>
        <w:t>其中：财政拨款收入236.97万元，占100.00%；上级补助收入0.00万元，占0.00%；事业收入0.00万元，占0.00%；经营收入0.00万元，占0.00%；附属单位上缴收入0.00万元，占0.00%；其他收入0.00万元，占0.00%。</w:t>
      </w:r>
    </w:p>
    <w:p w14:paraId="2F15C9D6">
      <w:pPr>
        <w:spacing w:line="640" w:lineRule="exact"/>
        <w:ind w:firstLine="640"/>
        <w:jc w:val="both"/>
        <w:outlineLvl w:val="2"/>
      </w:pPr>
      <w:r>
        <w:rPr>
          <w:rFonts w:ascii="黑体" w:hAnsi="黑体" w:eastAsia="黑体"/>
          <w:sz w:val="32"/>
        </w:rPr>
        <w:t>三、支出决算情况说明</w:t>
      </w:r>
    </w:p>
    <w:p w14:paraId="2CFF4DAE">
      <w:pPr>
        <w:spacing w:line="580" w:lineRule="exact"/>
        <w:ind w:firstLine="640"/>
        <w:jc w:val="both"/>
      </w:pPr>
      <w:r>
        <w:rPr>
          <w:rFonts w:ascii="仿宋_GB2312" w:hAnsi="仿宋_GB2312" w:eastAsia="仿宋_GB2312"/>
          <w:b/>
          <w:sz w:val="32"/>
        </w:rPr>
        <w:t>本年支出236.97万元，</w:t>
      </w:r>
      <w:r>
        <w:rPr>
          <w:rFonts w:ascii="仿宋_GB2312" w:hAnsi="仿宋_GB2312" w:eastAsia="仿宋_GB2312"/>
          <w:b w:val="0"/>
          <w:sz w:val="32"/>
        </w:rPr>
        <w:t>其中：基本支出189.87万元，占80.12%；项目支出47.10万元，占19.88%；上缴上级支出0.00万元，占0.00%；经营支出0.00万元，占0.00%；对附属单位补助支出0.00万元，占0.00%。</w:t>
      </w:r>
    </w:p>
    <w:p w14:paraId="7F856F69">
      <w:pPr>
        <w:spacing w:line="640" w:lineRule="exact"/>
        <w:ind w:firstLine="640"/>
        <w:jc w:val="both"/>
        <w:outlineLvl w:val="2"/>
      </w:pPr>
      <w:r>
        <w:rPr>
          <w:rFonts w:ascii="黑体" w:hAnsi="黑体" w:eastAsia="黑体"/>
          <w:sz w:val="32"/>
        </w:rPr>
        <w:t>四、财政拨款收入支出决算总体情况说明</w:t>
      </w:r>
    </w:p>
    <w:p w14:paraId="1E5204AF">
      <w:pPr>
        <w:spacing w:line="580" w:lineRule="exact"/>
        <w:ind w:firstLine="640"/>
        <w:jc w:val="both"/>
      </w:pPr>
      <w:r>
        <w:rPr>
          <w:rFonts w:ascii="仿宋_GB2312" w:hAnsi="仿宋_GB2312" w:eastAsia="仿宋_GB2312"/>
          <w:b/>
          <w:sz w:val="32"/>
        </w:rPr>
        <w:t>2024年度财政拨款收入总计236.97万元，</w:t>
      </w:r>
      <w:r>
        <w:rPr>
          <w:rFonts w:ascii="仿宋_GB2312" w:hAnsi="仿宋_GB2312" w:eastAsia="仿宋_GB2312"/>
          <w:b w:val="0"/>
          <w:sz w:val="32"/>
        </w:rPr>
        <w:t>其中：年初财政拨款结转和结余0.00万元，本年财政拨款收入236.97万元。</w:t>
      </w:r>
      <w:r>
        <w:rPr>
          <w:rFonts w:ascii="仿宋_GB2312" w:hAnsi="仿宋_GB2312" w:eastAsia="仿宋_GB2312"/>
          <w:b/>
          <w:sz w:val="32"/>
        </w:rPr>
        <w:t>财政拨款支出总计236.97万元，</w:t>
      </w:r>
      <w:r>
        <w:rPr>
          <w:rFonts w:ascii="仿宋_GB2312" w:hAnsi="仿宋_GB2312" w:eastAsia="仿宋_GB2312"/>
          <w:b w:val="0"/>
          <w:sz w:val="32"/>
        </w:rPr>
        <w:t>其中：年末财政拨款结转和结余0.00万元，本年财政拨款支出236.97万元。</w:t>
      </w:r>
    </w:p>
    <w:p w14:paraId="51B80A0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增加23.23万元，增长10.87%，主要原因是：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增加跨域玉米品种区域适应性试验项目。</w:t>
      </w:r>
      <w:r>
        <w:rPr>
          <w:rFonts w:ascii="仿宋_GB2312" w:hAnsi="仿宋_GB2312" w:eastAsia="仿宋_GB2312"/>
          <w:b/>
          <w:sz w:val="32"/>
        </w:rPr>
        <w:t>与年初预算相比，</w:t>
      </w:r>
      <w:r>
        <w:rPr>
          <w:rFonts w:ascii="仿宋_GB2312" w:hAnsi="仿宋_GB2312" w:eastAsia="仿宋_GB2312"/>
          <w:b w:val="0"/>
          <w:sz w:val="32"/>
        </w:rPr>
        <w:t>年初预算数269.12万元，决算数236.97万元，预决算差异率-11.95%，主要原因是：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跨域玉米品种区域适应性试验项目未执行完，年中调减经费。</w:t>
      </w:r>
    </w:p>
    <w:p w14:paraId="48066E23">
      <w:pPr>
        <w:spacing w:line="640" w:lineRule="exact"/>
        <w:ind w:firstLine="640"/>
        <w:jc w:val="both"/>
        <w:outlineLvl w:val="2"/>
      </w:pPr>
      <w:r>
        <w:rPr>
          <w:rFonts w:ascii="黑体" w:hAnsi="黑体" w:eastAsia="黑体"/>
          <w:sz w:val="32"/>
        </w:rPr>
        <w:t>五、一般公共预算财政拨款支出决算情况说明</w:t>
      </w:r>
    </w:p>
    <w:p w14:paraId="2EDC64FA">
      <w:pPr>
        <w:spacing w:line="640" w:lineRule="exact"/>
        <w:ind w:firstLine="640"/>
        <w:jc w:val="both"/>
        <w:outlineLvl w:val="3"/>
      </w:pPr>
      <w:r>
        <w:rPr>
          <w:rFonts w:ascii="楷体_GB2312" w:hAnsi="楷体_GB2312" w:eastAsia="楷体_GB2312"/>
          <w:b/>
          <w:sz w:val="32"/>
        </w:rPr>
        <w:t>（一）一般公共预算财政拨款支出决算总体情况</w:t>
      </w:r>
    </w:p>
    <w:p w14:paraId="11D4B72E">
      <w:pPr>
        <w:spacing w:line="580" w:lineRule="exact"/>
        <w:ind w:firstLine="640"/>
        <w:jc w:val="both"/>
      </w:pPr>
      <w:r>
        <w:rPr>
          <w:rFonts w:ascii="仿宋_GB2312" w:hAnsi="仿宋_GB2312" w:eastAsia="仿宋_GB2312"/>
          <w:b/>
          <w:sz w:val="32"/>
        </w:rPr>
        <w:t>2024年度一般公共预算财政拨款支出236.97万元，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增加28.76万元，增长13.81%，主要原因是：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增加跨域玉米品种区域适应性试验项目。</w:t>
      </w:r>
      <w:r>
        <w:rPr>
          <w:rFonts w:ascii="仿宋_GB2312" w:hAnsi="仿宋_GB2312" w:eastAsia="仿宋_GB2312"/>
          <w:b/>
          <w:sz w:val="32"/>
        </w:rPr>
        <w:t>与年初预算相比,</w:t>
      </w:r>
      <w:r>
        <w:rPr>
          <w:rFonts w:ascii="仿宋_GB2312" w:hAnsi="仿宋_GB2312" w:eastAsia="仿宋_GB2312"/>
          <w:b w:val="0"/>
          <w:sz w:val="32"/>
        </w:rPr>
        <w:t>年初预算数269.12万元，决算数236.97万元，预决算差异率-11.95%，主要原因是：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跨域玉米品种区域适应性试验项目未执行完，年中调减经费。</w:t>
      </w:r>
    </w:p>
    <w:p w14:paraId="14159A89">
      <w:pPr>
        <w:spacing w:line="640" w:lineRule="exact"/>
        <w:ind w:firstLine="640"/>
        <w:jc w:val="both"/>
        <w:outlineLvl w:val="3"/>
      </w:pPr>
      <w:r>
        <w:rPr>
          <w:rFonts w:ascii="楷体_GB2312" w:hAnsi="楷体_GB2312" w:eastAsia="楷体_GB2312"/>
          <w:b/>
          <w:sz w:val="32"/>
        </w:rPr>
        <w:t>（二）一般公共预算财政拨款支出决算结构情况</w:t>
      </w:r>
    </w:p>
    <w:p w14:paraId="21F7B7FA">
      <w:pPr>
        <w:spacing w:line="580" w:lineRule="exact"/>
        <w:ind w:firstLine="640"/>
        <w:jc w:val="both"/>
      </w:pPr>
      <w:r>
        <w:rPr>
          <w:rFonts w:ascii="仿宋_GB2312" w:hAnsi="仿宋_GB2312" w:eastAsia="仿宋_GB2312"/>
          <w:b w:val="0"/>
          <w:sz w:val="32"/>
        </w:rPr>
        <w:t>1.社会保障和就业支出(类)43.60万元,占18.40%。</w:t>
      </w:r>
    </w:p>
    <w:p w14:paraId="5E2CA718">
      <w:pPr>
        <w:spacing w:line="580" w:lineRule="exact"/>
        <w:ind w:firstLine="640"/>
        <w:jc w:val="both"/>
      </w:pPr>
      <w:r>
        <w:rPr>
          <w:rFonts w:ascii="仿宋_GB2312" w:hAnsi="仿宋_GB2312" w:eastAsia="仿宋_GB2312"/>
          <w:b w:val="0"/>
          <w:sz w:val="32"/>
        </w:rPr>
        <w:t>2.卫生健康支出(类)6.03万元,占2.54%。</w:t>
      </w:r>
    </w:p>
    <w:p w14:paraId="5873406C">
      <w:pPr>
        <w:spacing w:line="580" w:lineRule="exact"/>
        <w:ind w:firstLine="640"/>
        <w:jc w:val="both"/>
      </w:pPr>
      <w:r>
        <w:rPr>
          <w:rFonts w:ascii="仿宋_GB2312" w:hAnsi="仿宋_GB2312" w:eastAsia="仿宋_GB2312"/>
          <w:b w:val="0"/>
          <w:sz w:val="32"/>
        </w:rPr>
        <w:t>3.农林水支出(类)173.82万元,占73.35%。</w:t>
      </w:r>
    </w:p>
    <w:p w14:paraId="12AA7CDB">
      <w:pPr>
        <w:spacing w:line="580" w:lineRule="exact"/>
        <w:ind w:firstLine="640"/>
        <w:jc w:val="both"/>
      </w:pPr>
      <w:r>
        <w:rPr>
          <w:rFonts w:ascii="仿宋_GB2312" w:hAnsi="仿宋_GB2312" w:eastAsia="仿宋_GB2312"/>
          <w:b w:val="0"/>
          <w:sz w:val="32"/>
        </w:rPr>
        <w:t>4.住房保障支出(类)13.53万元,占5.71%。</w:t>
      </w:r>
    </w:p>
    <w:p w14:paraId="696FD9F3">
      <w:pPr>
        <w:spacing w:line="640" w:lineRule="exact"/>
        <w:ind w:firstLine="640"/>
        <w:jc w:val="both"/>
        <w:outlineLvl w:val="3"/>
      </w:pPr>
      <w:r>
        <w:rPr>
          <w:rFonts w:ascii="楷体_GB2312" w:hAnsi="楷体_GB2312" w:eastAsia="楷体_GB2312"/>
          <w:b/>
          <w:sz w:val="32"/>
        </w:rPr>
        <w:t>（三）一般公共预算财政拨款支出决算具体情况</w:t>
      </w:r>
    </w:p>
    <w:p w14:paraId="75FE0E6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1.社会保障和就业支出(类)行政事业单位养老支出(款)事业单位离退休(项):支出决算数为17.55万元，比上年决算增加3.59万元，增长25.72%,主要原因是：本年增加退休人员基础绩效奖，退休费支出增加。</w:t>
      </w:r>
    </w:p>
    <w:p w14:paraId="5C720C1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16.67万元，比上年决算增加2.07万元，增长14.18%,主要原因是：本年在职人员工资基数调增，养老缴费基数上涨，相应支出增加。</w:t>
      </w:r>
    </w:p>
    <w:p w14:paraId="0E618715">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3.社会保障和就业支出(类)行政事业单位养老支出(款)机关事业单位职业年金缴费支出(项):支出决算数为9.38万元，比上年决算增加9.38万元，增长100.00%,主要原因是：本年补缴以前年度退休人员职业年金。</w:t>
      </w:r>
    </w:p>
    <w:p w14:paraId="037B1816">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4.社会保障和就业支出(类)抚恤(款)死亡抚恤(项):支出决算数为0.00万元，比上年决算减少23.18万元，下降100.00%,主要原因是：本年无新增死亡人员，死亡抚恤支出较上年减少。</w:t>
      </w:r>
    </w:p>
    <w:p w14:paraId="081EA62D">
      <w:pPr>
        <w:spacing w:line="580" w:lineRule="exact"/>
        <w:ind w:firstLine="640"/>
        <w:jc w:val="both"/>
      </w:pPr>
      <w:r>
        <w:rPr>
          <w:rFonts w:ascii="仿宋_GB2312" w:hAnsi="仿宋_GB2312" w:eastAsia="仿宋_GB2312"/>
          <w:b w:val="0"/>
          <w:sz w:val="32"/>
        </w:rPr>
        <w:t>5.卫生健康支出(类)行政事业单位医疗(款)事业单位医疗(项):支出决算数为6.03万元，比上年决算增加0.56万元，增长10.24%,主要原因是：本年在职人员工资基数调增，医疗缴费基数上涨，相应支出增加。</w:t>
      </w:r>
    </w:p>
    <w:p w14:paraId="0E486850">
      <w:pPr>
        <w:spacing w:line="580" w:lineRule="exact"/>
        <w:ind w:firstLine="640"/>
        <w:jc w:val="both"/>
      </w:pPr>
      <w:r>
        <w:rPr>
          <w:rFonts w:ascii="仿宋_GB2312" w:hAnsi="仿宋_GB2312" w:eastAsia="仿宋_GB2312"/>
          <w:b w:val="0"/>
          <w:sz w:val="32"/>
        </w:rPr>
        <w:t>6.农林水支出(类)农业农村(款)事业运行(项):支出决算数为126.72万元，比上年决算减少12.46万元，下降8.95%,主要原因是：本年在职人员调入调出，人员职级不同，工资基数不同，导致人员经费较上年减少。</w:t>
      </w:r>
    </w:p>
    <w:p w14:paraId="24C2AE40">
      <w:pPr>
        <w:spacing w:line="580" w:lineRule="exact"/>
        <w:ind w:firstLine="640"/>
        <w:jc w:val="both"/>
      </w:pPr>
      <w:r>
        <w:rPr>
          <w:rFonts w:ascii="仿宋_GB2312" w:hAnsi="仿宋_GB2312" w:eastAsia="仿宋_GB2312"/>
          <w:b w:val="0"/>
          <w:sz w:val="32"/>
        </w:rPr>
        <w:t>7.农林水支出(类)农业农村(款)农业生产发展(项):支出决算数为47.10万元，比上年决算增加47.10万元，增长100.00%,主要原因是：增加2024年跨域玉米品种区域适应性试验项目。</w:t>
      </w:r>
    </w:p>
    <w:p w14:paraId="6DA1E826">
      <w:pPr>
        <w:spacing w:line="580" w:lineRule="exact"/>
        <w:ind w:firstLine="640"/>
        <w:jc w:val="both"/>
      </w:pPr>
      <w:r>
        <w:rPr>
          <w:rFonts w:ascii="仿宋_GB2312" w:hAnsi="仿宋_GB2312" w:eastAsia="仿宋_GB2312"/>
          <w:b w:val="0"/>
          <w:sz w:val="32"/>
        </w:rPr>
        <w:t>8.住房保障支出(类)住房改革支出(款)住房公积金(项):支出决算数为13.53万元，比上年决算增加1.70万元，增长14.37%,主要原因是：本年在职人员工资基数调增，公积金缴费基数上涨，相应支出增加。</w:t>
      </w:r>
    </w:p>
    <w:p w14:paraId="08962103">
      <w:pPr>
        <w:spacing w:line="640" w:lineRule="exact"/>
        <w:ind w:firstLine="640"/>
        <w:jc w:val="both"/>
        <w:outlineLvl w:val="2"/>
      </w:pPr>
      <w:r>
        <w:rPr>
          <w:rFonts w:ascii="黑体" w:hAnsi="黑体" w:eastAsia="黑体"/>
          <w:sz w:val="32"/>
        </w:rPr>
        <w:t>六、一般公共预算财政拨款基本支出决算情况说明</w:t>
      </w:r>
    </w:p>
    <w:p w14:paraId="0A68B3E5">
      <w:pPr>
        <w:spacing w:line="580" w:lineRule="exact"/>
        <w:ind w:firstLine="640"/>
        <w:jc w:val="both"/>
      </w:pPr>
      <w:r>
        <w:rPr>
          <w:rFonts w:ascii="仿宋_GB2312" w:hAnsi="仿宋_GB2312" w:eastAsia="仿宋_GB2312"/>
          <w:b w:val="0"/>
          <w:sz w:val="32"/>
        </w:rPr>
        <w:t>2024年度一般公共预算财政拨款基本支出189.87万元，其中：</w:t>
      </w:r>
      <w:r>
        <w:rPr>
          <w:rFonts w:ascii="仿宋_GB2312" w:hAnsi="仿宋_GB2312" w:eastAsia="仿宋_GB2312"/>
          <w:b/>
          <w:sz w:val="32"/>
        </w:rPr>
        <w:t>人员经费188.16万元，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2224F3AF">
      <w:pPr>
        <w:spacing w:line="580" w:lineRule="exact"/>
        <w:ind w:firstLine="640"/>
        <w:jc w:val="both"/>
      </w:pPr>
      <w:r>
        <w:rPr>
          <w:rFonts w:ascii="仿宋_GB2312" w:hAnsi="仿宋_GB2312" w:eastAsia="仿宋_GB2312"/>
          <w:b/>
          <w:sz w:val="32"/>
        </w:rPr>
        <w:t>公用经费1.71万元，</w:t>
      </w:r>
      <w:r>
        <w:rPr>
          <w:rFonts w:ascii="仿宋_GB2312" w:hAnsi="仿宋_GB2312" w:eastAsia="仿宋_GB2312"/>
          <w:b w:val="0"/>
          <w:sz w:val="32"/>
        </w:rPr>
        <w:t>包括：办公费。</w:t>
      </w:r>
    </w:p>
    <w:p w14:paraId="0AC751A2">
      <w:pPr>
        <w:spacing w:line="640" w:lineRule="exact"/>
        <w:ind w:firstLine="640"/>
        <w:jc w:val="both"/>
        <w:outlineLvl w:val="2"/>
      </w:pPr>
      <w:r>
        <w:rPr>
          <w:rFonts w:ascii="黑体" w:hAnsi="黑体" w:eastAsia="黑体"/>
          <w:sz w:val="32"/>
        </w:rPr>
        <w:t>七、政府性基金预算财政拨款收入支出决算情况说明</w:t>
      </w:r>
    </w:p>
    <w:p w14:paraId="2311AF8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BAF6F89">
      <w:pPr>
        <w:spacing w:line="640" w:lineRule="exact"/>
        <w:ind w:firstLine="640"/>
        <w:jc w:val="both"/>
        <w:outlineLvl w:val="2"/>
      </w:pPr>
      <w:r>
        <w:rPr>
          <w:rFonts w:ascii="黑体" w:hAnsi="黑体" w:eastAsia="黑体"/>
          <w:sz w:val="32"/>
        </w:rPr>
        <w:t>八、国有资本经营预算财政拨款收入支出决算情况说明</w:t>
      </w:r>
    </w:p>
    <w:p w14:paraId="1C45074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9B13EFA">
      <w:pPr>
        <w:spacing w:line="640" w:lineRule="exact"/>
        <w:ind w:firstLine="640"/>
        <w:jc w:val="both"/>
        <w:outlineLvl w:val="2"/>
      </w:pPr>
      <w:r>
        <w:rPr>
          <w:rFonts w:ascii="黑体" w:hAnsi="黑体" w:eastAsia="黑体"/>
          <w:sz w:val="32"/>
        </w:rPr>
        <w:t>九、财政拨款“三公”经费支出决算情况说明</w:t>
      </w:r>
    </w:p>
    <w:p w14:paraId="3EAAF63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F3F7B57">
      <w:pPr>
        <w:spacing w:line="580" w:lineRule="exact"/>
        <w:ind w:firstLine="640"/>
        <w:jc w:val="both"/>
      </w:pPr>
      <w:r>
        <w:rPr>
          <w:rFonts w:ascii="仿宋_GB2312" w:hAnsi="仿宋_GB2312" w:eastAsia="仿宋_GB2312"/>
          <w:b/>
          <w:sz w:val="32"/>
        </w:rPr>
        <w:t>具体情况如下：</w:t>
      </w:r>
    </w:p>
    <w:p w14:paraId="4D28B51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AC8471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2A6FC2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A6F604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824805E">
      <w:pPr>
        <w:spacing w:line="640" w:lineRule="exact"/>
        <w:ind w:firstLine="640"/>
        <w:jc w:val="both"/>
        <w:outlineLvl w:val="2"/>
      </w:pPr>
      <w:r>
        <w:rPr>
          <w:rFonts w:ascii="黑体" w:hAnsi="黑体" w:eastAsia="黑体"/>
          <w:sz w:val="32"/>
        </w:rPr>
        <w:t>十、其他重要事项的情况说明</w:t>
      </w:r>
    </w:p>
    <w:p w14:paraId="667CBBE2">
      <w:pPr>
        <w:spacing w:line="640" w:lineRule="exact"/>
        <w:ind w:firstLine="640"/>
        <w:jc w:val="both"/>
        <w:outlineLvl w:val="3"/>
      </w:pPr>
      <w:r>
        <w:rPr>
          <w:rFonts w:ascii="楷体_GB2312" w:hAnsi="楷体_GB2312" w:eastAsia="楷体_GB2312"/>
          <w:b/>
          <w:sz w:val="32"/>
        </w:rPr>
        <w:t>（一）机关运行经费及公用经费支出情况</w:t>
      </w:r>
    </w:p>
    <w:p w14:paraId="07664740">
      <w:pPr>
        <w:spacing w:line="580" w:lineRule="exact"/>
        <w:ind w:firstLine="640"/>
        <w:jc w:val="both"/>
      </w:pPr>
      <w:r>
        <w:rPr>
          <w:rFonts w:ascii="仿宋_GB2312" w:hAnsi="仿宋_GB2312" w:eastAsia="仿宋_GB2312"/>
          <w:b w:val="0"/>
          <w:sz w:val="32"/>
        </w:rPr>
        <w:t>2024年度阿克陶县种子管理站（事业单位）公用经费支出1.71万元，比上年增加0.51万元，增长42.50%，主要原因是：本年更新、维护补充办公用品，导致公用经费较上年增加。</w:t>
      </w:r>
    </w:p>
    <w:p w14:paraId="0FB8A718">
      <w:pPr>
        <w:spacing w:line="640" w:lineRule="exact"/>
        <w:ind w:firstLine="640"/>
        <w:jc w:val="both"/>
        <w:outlineLvl w:val="3"/>
      </w:pPr>
      <w:r>
        <w:rPr>
          <w:rFonts w:ascii="楷体_GB2312" w:hAnsi="楷体_GB2312" w:eastAsia="楷体_GB2312"/>
          <w:b/>
          <w:sz w:val="32"/>
        </w:rPr>
        <w:t>（二）政府采购情况</w:t>
      </w:r>
    </w:p>
    <w:p w14:paraId="652039A9">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238264AD">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3B29CA4C">
      <w:pPr>
        <w:spacing w:line="640" w:lineRule="exact"/>
        <w:ind w:firstLine="640"/>
        <w:jc w:val="both"/>
        <w:outlineLvl w:val="3"/>
      </w:pPr>
      <w:r>
        <w:rPr>
          <w:rFonts w:ascii="楷体_GB2312" w:hAnsi="楷体_GB2312" w:eastAsia="楷体_GB2312"/>
          <w:b/>
          <w:sz w:val="32"/>
        </w:rPr>
        <w:t>（三）国有资产占用情况说明</w:t>
      </w:r>
    </w:p>
    <w:p w14:paraId="2046BB38">
      <w:pPr>
        <w:spacing w:line="580" w:lineRule="exact"/>
        <w:ind w:firstLine="640"/>
        <w:jc w:val="both"/>
      </w:pPr>
      <w:r>
        <w:rPr>
          <w:rFonts w:ascii="仿宋_GB2312" w:hAnsi="仿宋_GB2312" w:eastAsia="仿宋_GB2312"/>
          <w:b w:val="0"/>
          <w:sz w:val="32"/>
        </w:rPr>
        <w:t>截至2024年12月31日，房屋1,920.00平方米，价值58.82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4370814">
      <w:pPr>
        <w:spacing w:line="640" w:lineRule="exact"/>
        <w:ind w:firstLine="640"/>
        <w:jc w:val="both"/>
        <w:outlineLvl w:val="2"/>
      </w:pPr>
      <w:r>
        <w:rPr>
          <w:rFonts w:ascii="黑体" w:hAnsi="黑体" w:eastAsia="黑体"/>
          <w:sz w:val="32"/>
        </w:rPr>
        <w:t>十一、预算绩效的情况说明</w:t>
      </w:r>
    </w:p>
    <w:p w14:paraId="533605A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236.97万元，实际执行总额236.97万元；预算绩效评价项目0个，全年预算数0.00万元，全年执行数0.00万元。预算绩效管理取得的成效：2024年本单位无预算绩效项目。发现的问题及原因：2024年本单位无预算绩效项目。下一步改进措施：2024年本单位无预算绩效项目。具体附整体支出绩效自评表。</w:t>
      </w:r>
    </w:p>
    <w:p w14:paraId="3E47132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6BFB62B">
        <w:tblPrEx>
          <w:tblCellMar>
            <w:top w:w="0" w:type="dxa"/>
            <w:left w:w="108" w:type="dxa"/>
            <w:bottom w:w="0" w:type="dxa"/>
            <w:right w:w="108" w:type="dxa"/>
          </w:tblCellMar>
        </w:tblPrEx>
        <w:tc>
          <w:tcPr>
            <w:tcW w:w="8840" w:type="dxa"/>
            <w:gridSpan w:val="8"/>
            <w:vAlign w:val="center"/>
          </w:tcPr>
          <w:p w14:paraId="5B5F82B3">
            <w:pPr>
              <w:jc w:val="center"/>
            </w:pPr>
            <w:r>
              <w:rPr>
                <w:rFonts w:ascii="宋体" w:hAnsi="宋体" w:eastAsia="宋体"/>
                <w:sz w:val="24"/>
              </w:rPr>
              <w:t>单位整体支出绩效自评表</w:t>
            </w:r>
          </w:p>
        </w:tc>
      </w:tr>
      <w:tr w14:paraId="4BB31773">
        <w:tblPrEx>
          <w:tblCellMar>
            <w:top w:w="0" w:type="dxa"/>
            <w:left w:w="108" w:type="dxa"/>
            <w:bottom w:w="0" w:type="dxa"/>
            <w:right w:w="108" w:type="dxa"/>
          </w:tblCellMar>
        </w:tblPrEx>
        <w:tc>
          <w:tcPr>
            <w:tcW w:w="8840" w:type="dxa"/>
            <w:gridSpan w:val="8"/>
            <w:vAlign w:val="center"/>
          </w:tcPr>
          <w:p w14:paraId="0AC21385">
            <w:pPr>
              <w:jc w:val="center"/>
            </w:pPr>
            <w:r>
              <w:rPr>
                <w:rFonts w:ascii="宋体" w:hAnsi="宋体" w:eastAsia="宋体"/>
                <w:sz w:val="24"/>
              </w:rPr>
              <w:t>（2024年度）</w:t>
            </w:r>
          </w:p>
        </w:tc>
      </w:tr>
      <w:tr w14:paraId="4E6C7A9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2235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6358B9">
            <w:pPr>
              <w:jc w:val="center"/>
            </w:pPr>
            <w:r>
              <w:rPr>
                <w:rFonts w:ascii="宋体" w:hAnsi="宋体" w:eastAsia="宋体"/>
                <w:sz w:val="16"/>
              </w:rPr>
              <w:t>阿克陶县种子管理站</w:t>
            </w:r>
          </w:p>
        </w:tc>
      </w:tr>
      <w:tr w14:paraId="10882F1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4B372">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F203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60A8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6A503">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0D931">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06C7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E0B9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FC6DC">
            <w:pPr>
              <w:jc w:val="center"/>
            </w:pPr>
            <w:r>
              <w:rPr>
                <w:rFonts w:ascii="宋体" w:hAnsi="宋体" w:eastAsia="宋体"/>
                <w:sz w:val="16"/>
              </w:rPr>
              <w:t>得分</w:t>
            </w:r>
          </w:p>
        </w:tc>
      </w:tr>
      <w:tr w14:paraId="38CE6F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D90D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E398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805189">
            <w:pPr>
              <w:jc w:val="center"/>
            </w:pPr>
            <w:r>
              <w:rPr>
                <w:rFonts w:ascii="宋体" w:hAnsi="宋体" w:eastAsia="宋体"/>
                <w:sz w:val="16"/>
              </w:rPr>
              <w:t>269.12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F2E84">
            <w:pPr>
              <w:jc w:val="center"/>
            </w:pPr>
            <w:r>
              <w:rPr>
                <w:rFonts w:ascii="宋体" w:hAnsi="宋体" w:eastAsia="宋体"/>
                <w:sz w:val="16"/>
              </w:rPr>
              <w:t>236.97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767A4">
            <w:pPr>
              <w:jc w:val="center"/>
            </w:pPr>
            <w:r>
              <w:rPr>
                <w:rFonts w:ascii="宋体" w:hAnsi="宋体" w:eastAsia="宋体"/>
                <w:sz w:val="16"/>
              </w:rPr>
              <w:t>236.97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143E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FE35C">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C2F45">
            <w:pPr>
              <w:jc w:val="center"/>
            </w:pPr>
            <w:r>
              <w:rPr>
                <w:rFonts w:ascii="宋体" w:hAnsi="宋体" w:eastAsia="宋体"/>
                <w:sz w:val="16"/>
              </w:rPr>
              <w:t>10</w:t>
            </w:r>
          </w:p>
        </w:tc>
      </w:tr>
      <w:tr w14:paraId="5B0B52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1293B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BC513">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54F5D">
            <w:pPr>
              <w:jc w:val="center"/>
            </w:pPr>
            <w:r>
              <w:rPr>
                <w:rFonts w:ascii="宋体" w:hAnsi="宋体" w:eastAsia="宋体"/>
                <w:sz w:val="16"/>
              </w:rPr>
              <w:t>71.00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CB3B4">
            <w:pPr>
              <w:jc w:val="center"/>
            </w:pPr>
            <w:r>
              <w:rPr>
                <w:rFonts w:ascii="宋体" w:hAnsi="宋体" w:eastAsia="宋体"/>
                <w:sz w:val="16"/>
              </w:rPr>
              <w:t>47.10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9AB62">
            <w:pPr>
              <w:jc w:val="center"/>
            </w:pPr>
            <w:r>
              <w:rPr>
                <w:rFonts w:ascii="宋体" w:hAnsi="宋体" w:eastAsia="宋体"/>
                <w:sz w:val="16"/>
              </w:rPr>
              <w:t>47.10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2593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263A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8886B">
            <w:pPr>
              <w:jc w:val="center"/>
            </w:pPr>
            <w:r>
              <w:rPr>
                <w:rFonts w:ascii="宋体" w:hAnsi="宋体" w:eastAsia="宋体"/>
                <w:sz w:val="16"/>
              </w:rPr>
              <w:t>—</w:t>
            </w:r>
          </w:p>
        </w:tc>
      </w:tr>
      <w:tr w14:paraId="1B9923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8C69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9B068">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E644F2">
            <w:pPr>
              <w:jc w:val="center"/>
            </w:pPr>
            <w:r>
              <w:rPr>
                <w:rFonts w:ascii="宋体" w:hAnsi="宋体" w:eastAsia="宋体"/>
                <w:sz w:val="16"/>
              </w:rPr>
              <w:t>198.12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9A443">
            <w:pPr>
              <w:jc w:val="center"/>
            </w:pPr>
            <w:r>
              <w:rPr>
                <w:rFonts w:ascii="宋体" w:hAnsi="宋体" w:eastAsia="宋体"/>
                <w:sz w:val="16"/>
              </w:rPr>
              <w:t>189.87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CEFF2">
            <w:pPr>
              <w:jc w:val="center"/>
            </w:pPr>
            <w:r>
              <w:rPr>
                <w:rFonts w:ascii="宋体" w:hAnsi="宋体" w:eastAsia="宋体"/>
                <w:sz w:val="16"/>
              </w:rPr>
              <w:t>189.87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E082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B563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A81980">
            <w:pPr>
              <w:jc w:val="center"/>
            </w:pPr>
            <w:r>
              <w:rPr>
                <w:rFonts w:ascii="宋体" w:hAnsi="宋体" w:eastAsia="宋体"/>
                <w:sz w:val="16"/>
              </w:rPr>
              <w:t>—</w:t>
            </w:r>
          </w:p>
        </w:tc>
      </w:tr>
      <w:tr w14:paraId="32A2F4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EFEDC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4F01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4440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3FAC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FAB5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CAA31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7E5B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A18DE">
            <w:pPr>
              <w:jc w:val="center"/>
            </w:pPr>
            <w:r>
              <w:rPr>
                <w:rFonts w:ascii="宋体" w:hAnsi="宋体" w:eastAsia="宋体"/>
                <w:sz w:val="16"/>
              </w:rPr>
              <w:t>—</w:t>
            </w:r>
          </w:p>
        </w:tc>
      </w:tr>
      <w:tr w14:paraId="1C3B09E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6F42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77BBA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D69A56">
            <w:pPr>
              <w:jc w:val="center"/>
            </w:pPr>
            <w:r>
              <w:rPr>
                <w:rFonts w:ascii="宋体" w:hAnsi="宋体" w:eastAsia="宋体"/>
                <w:sz w:val="16"/>
              </w:rPr>
              <w:t>实际完成情况</w:t>
            </w:r>
          </w:p>
        </w:tc>
      </w:tr>
      <w:tr w14:paraId="2C2FC33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844D0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E3DEE0">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市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7AF537">
            <w:pPr>
              <w:jc w:val="both"/>
            </w:pPr>
            <w:r>
              <w:rPr>
                <w:rFonts w:ascii="宋体" w:hAnsi="宋体" w:eastAsia="宋体"/>
                <w:sz w:val="16"/>
              </w:rPr>
              <w:t>确保了在职人员22人的工资、津贴、补贴、社保、医保、公积金等人员保障性经费能够依规、按时、足额发放或缴纳，提升部门人员工作积极性和服务质量；加强单位的社会主义民主法制建设和精神文明建设；加强民族团结维护社会稳定。</w:t>
            </w:r>
          </w:p>
        </w:tc>
      </w:tr>
      <w:tr w14:paraId="1E7F8C8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0C57C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E0DF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F7EC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60C6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DBA33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EA81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6D54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FA02E">
            <w:pPr>
              <w:jc w:val="center"/>
            </w:pPr>
            <w:r>
              <w:rPr>
                <w:rFonts w:ascii="宋体" w:hAnsi="宋体" w:eastAsia="宋体"/>
                <w:sz w:val="16"/>
              </w:rPr>
              <w:t>得分</w:t>
            </w:r>
          </w:p>
        </w:tc>
      </w:tr>
      <w:tr w14:paraId="28475AE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24889">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0768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1BD37">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CDEBB">
            <w:pPr>
              <w:jc w:val="center"/>
            </w:pPr>
            <w:r>
              <w:rPr>
                <w:rFonts w:ascii="宋体" w:hAnsi="宋体" w:eastAsia="宋体"/>
                <w:sz w:val="16"/>
              </w:rPr>
              <w:t>=21人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E0E96">
            <w:pPr>
              <w:jc w:val="center"/>
            </w:pPr>
            <w:r>
              <w:rPr>
                <w:rFonts w:ascii="宋体" w:hAnsi="宋体" w:eastAsia="宋体"/>
                <w:sz w:val="16"/>
              </w:rPr>
              <w:t>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C228D">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47973">
            <w:pPr>
              <w:jc w:val="center"/>
            </w:pPr>
            <w:r>
              <w:rPr>
                <w:rFonts w:ascii="宋体" w:hAnsi="宋体" w:eastAsia="宋体"/>
                <w:sz w:val="16"/>
              </w:rPr>
              <w:t>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8714B">
            <w:pPr>
              <w:jc w:val="center"/>
            </w:pPr>
            <w:r>
              <w:rPr>
                <w:rFonts w:ascii="宋体" w:hAnsi="宋体" w:eastAsia="宋体"/>
                <w:sz w:val="16"/>
              </w:rPr>
              <w:t>5.73</w:t>
            </w:r>
          </w:p>
        </w:tc>
      </w:tr>
      <w:tr w14:paraId="55F1417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113B7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C99B2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419CF">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5BFC6">
            <w:pPr>
              <w:jc w:val="center"/>
            </w:pPr>
            <w:r>
              <w:rPr>
                <w:rFonts w:ascii="宋体" w:hAnsi="宋体" w:eastAsia="宋体"/>
                <w:sz w:val="16"/>
              </w:rPr>
              <w:t>&lt;=193.74万元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40630F">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9D4F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5F165">
            <w:pPr>
              <w:jc w:val="center"/>
            </w:pPr>
            <w:r>
              <w:rPr>
                <w:rFonts w:ascii="宋体" w:hAnsi="宋体" w:eastAsia="宋体"/>
                <w:sz w:val="16"/>
              </w:rPr>
              <w:t>188.16万元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935A0">
            <w:pPr>
              <w:jc w:val="center"/>
            </w:pPr>
            <w:r>
              <w:rPr>
                <w:rFonts w:ascii="宋体" w:hAnsi="宋体" w:eastAsia="宋体"/>
                <w:sz w:val="16"/>
              </w:rPr>
              <w:t>9.72</w:t>
            </w:r>
          </w:p>
        </w:tc>
      </w:tr>
      <w:tr w14:paraId="4CDE00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63494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2E3FD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645CC">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5F3D9">
            <w:pPr>
              <w:jc w:val="center"/>
            </w:pPr>
            <w:r>
              <w:rPr>
                <w:rFonts w:ascii="宋体" w:hAnsi="宋体" w:eastAsia="宋体"/>
                <w:sz w:val="16"/>
              </w:rPr>
              <w:t>&lt;=4.37万元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3608B">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09D21">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56085">
            <w:pPr>
              <w:jc w:val="center"/>
            </w:pPr>
            <w:r>
              <w:rPr>
                <w:rFonts w:ascii="宋体" w:hAnsi="宋体" w:eastAsia="宋体"/>
                <w:sz w:val="16"/>
              </w:rPr>
              <w:t>1.71万元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02D754">
            <w:pPr>
              <w:jc w:val="center"/>
            </w:pPr>
            <w:r>
              <w:rPr>
                <w:rFonts w:ascii="宋体" w:hAnsi="宋体" w:eastAsia="宋体"/>
                <w:sz w:val="16"/>
              </w:rPr>
              <w:t>3.13</w:t>
            </w:r>
          </w:p>
        </w:tc>
      </w:tr>
      <w:tr w14:paraId="708863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6FD59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46E1E">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D7387">
            <w:pPr>
              <w:jc w:val="center"/>
            </w:pPr>
            <w:r>
              <w:rPr>
                <w:rFonts w:ascii="宋体" w:hAnsi="宋体" w:eastAsia="宋体"/>
                <w:sz w:val="16"/>
              </w:rPr>
              <w:t>项目年初预算控制数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64190">
            <w:pPr>
              <w:jc w:val="center"/>
            </w:pPr>
            <w:r>
              <w:rPr>
                <w:rFonts w:ascii="宋体" w:hAnsi="宋体" w:eastAsia="宋体"/>
                <w:sz w:val="16"/>
              </w:rPr>
              <w:t>&lt;=71万元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A54D87">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072A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7117B">
            <w:pPr>
              <w:jc w:val="center"/>
            </w:pPr>
            <w:r>
              <w:rPr>
                <w:rFonts w:ascii="宋体" w:hAnsi="宋体" w:eastAsia="宋体"/>
                <w:sz w:val="16"/>
              </w:rPr>
              <w:t>47.1万元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85C32">
            <w:pPr>
              <w:jc w:val="center"/>
            </w:pPr>
            <w:r>
              <w:rPr>
                <w:rFonts w:ascii="宋体" w:hAnsi="宋体" w:eastAsia="宋体"/>
                <w:sz w:val="16"/>
              </w:rPr>
              <w:t>6.63</w:t>
            </w:r>
          </w:p>
        </w:tc>
      </w:tr>
      <w:tr w14:paraId="40D049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ED4B4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3DDC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B43606">
            <w:pPr>
              <w:jc w:val="center"/>
            </w:pPr>
            <w:r>
              <w:rPr>
                <w:rFonts w:ascii="宋体" w:hAnsi="宋体" w:eastAsia="宋体"/>
                <w:sz w:val="16"/>
              </w:rPr>
              <w:t>在职人员控制率（%）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E411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7CBAB">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F5D59">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B352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19CE16">
            <w:pPr>
              <w:jc w:val="center"/>
            </w:pPr>
            <w:r>
              <w:rPr>
                <w:rFonts w:ascii="宋体" w:hAnsi="宋体" w:eastAsia="宋体"/>
                <w:sz w:val="16"/>
              </w:rPr>
              <w:t>8</w:t>
            </w:r>
          </w:p>
        </w:tc>
      </w:tr>
      <w:tr w14:paraId="432A97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89700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48118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392A2">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F2C3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A083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7AF385">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7C64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5731E3">
            <w:pPr>
              <w:jc w:val="center"/>
            </w:pPr>
            <w:r>
              <w:rPr>
                <w:rFonts w:ascii="宋体" w:hAnsi="宋体" w:eastAsia="宋体"/>
                <w:sz w:val="16"/>
              </w:rPr>
              <w:t>7</w:t>
            </w:r>
          </w:p>
        </w:tc>
      </w:tr>
      <w:tr w14:paraId="7B34654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94AD2">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890B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8BE1D">
            <w:pPr>
              <w:jc w:val="center"/>
            </w:pPr>
            <w:r>
              <w:rPr>
                <w:rFonts w:ascii="宋体" w:hAnsi="宋体" w:eastAsia="宋体"/>
                <w:sz w:val="16"/>
              </w:rPr>
              <w:t>监督检查全县农作物种子市场次数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D9ED0">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33D137">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D54E0C">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FAB1A8">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63B176">
            <w:pPr>
              <w:jc w:val="center"/>
            </w:pPr>
            <w:r>
              <w:rPr>
                <w:rFonts w:ascii="宋体" w:hAnsi="宋体" w:eastAsia="宋体"/>
                <w:sz w:val="16"/>
              </w:rPr>
              <w:t>7</w:t>
            </w:r>
          </w:p>
        </w:tc>
      </w:tr>
      <w:tr w14:paraId="07CCF26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F31B9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5647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9B85B3">
            <w:pPr>
              <w:jc w:val="center"/>
            </w:pPr>
            <w:r>
              <w:rPr>
                <w:rFonts w:ascii="宋体" w:hAnsi="宋体" w:eastAsia="宋体"/>
                <w:sz w:val="16"/>
              </w:rPr>
              <w:t>预决算信息公开及时性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83F11">
            <w:pPr>
              <w:jc w:val="center"/>
            </w:pPr>
            <w:r>
              <w:rPr>
                <w:rFonts w:ascii="宋体" w:hAnsi="宋体" w:eastAsia="宋体"/>
                <w:sz w:val="16"/>
              </w:rPr>
              <w:t>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BE853">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6930E">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832A6">
            <w:pPr>
              <w:jc w:val="center"/>
            </w:pPr>
            <w:r>
              <w:rPr>
                <w:rFonts w:ascii="宋体" w:hAnsi="宋体" w:eastAsia="宋体"/>
                <w:sz w:val="16"/>
              </w:rPr>
              <w:t>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B09AE9">
            <w:pPr>
              <w:jc w:val="center"/>
            </w:pPr>
            <w:r>
              <w:rPr>
                <w:rFonts w:ascii="宋体" w:hAnsi="宋体" w:eastAsia="宋体"/>
                <w:sz w:val="16"/>
              </w:rPr>
              <w:t>6</w:t>
            </w:r>
          </w:p>
        </w:tc>
      </w:tr>
      <w:tr w14:paraId="3B05161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C44A3">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28640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8105E">
            <w:pPr>
              <w:jc w:val="center"/>
            </w:pPr>
            <w:r>
              <w:rPr>
                <w:rFonts w:ascii="宋体" w:hAnsi="宋体" w:eastAsia="宋体"/>
                <w:sz w:val="16"/>
              </w:rPr>
              <w:t>重点工作个数（个）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9EC39">
            <w:pPr>
              <w:jc w:val="center"/>
            </w:pPr>
            <w:r>
              <w:rPr>
                <w:rFonts w:ascii="宋体" w:hAnsi="宋体" w:eastAsia="宋体"/>
                <w:sz w:val="16"/>
              </w:rPr>
              <w:t>&gt;=2件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87B51">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353E10">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3F31A">
            <w:pPr>
              <w:jc w:val="center"/>
            </w:pPr>
            <w:r>
              <w:rPr>
                <w:rFonts w:ascii="宋体" w:hAnsi="宋体" w:eastAsia="宋体"/>
                <w:sz w:val="16"/>
              </w:rPr>
              <w:t>2件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EA13A">
            <w:pPr>
              <w:jc w:val="center"/>
            </w:pPr>
            <w:r>
              <w:rPr>
                <w:rFonts w:ascii="宋体" w:hAnsi="宋体" w:eastAsia="宋体"/>
                <w:sz w:val="16"/>
              </w:rPr>
              <w:t>6</w:t>
            </w:r>
          </w:p>
        </w:tc>
      </w:tr>
      <w:tr w14:paraId="7F0076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9A32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73BC0">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A2438">
            <w:pPr>
              <w:jc w:val="center"/>
            </w:pPr>
            <w:r>
              <w:rPr>
                <w:rFonts w:ascii="宋体" w:hAnsi="宋体" w:eastAsia="宋体"/>
                <w:sz w:val="16"/>
              </w:rPr>
              <w:t>重点工作办结率（%）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B603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633437">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6BDBEC">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6E3C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8768D">
            <w:pPr>
              <w:jc w:val="center"/>
            </w:pPr>
            <w:r>
              <w:rPr>
                <w:rFonts w:ascii="宋体" w:hAnsi="宋体" w:eastAsia="宋体"/>
                <w:sz w:val="16"/>
              </w:rPr>
              <w:t>6</w:t>
            </w:r>
          </w:p>
        </w:tc>
      </w:tr>
      <w:tr w14:paraId="2BB810D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DA29A">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2D80EF">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3E6DB">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F8011">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80EEEA">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E6E9A">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F024B">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C03DB">
            <w:pPr>
              <w:jc w:val="center"/>
            </w:pPr>
            <w:r>
              <w:rPr>
                <w:rFonts w:ascii="宋体" w:hAnsi="宋体" w:eastAsia="宋体"/>
                <w:sz w:val="16"/>
              </w:rPr>
              <w:t>6</w:t>
            </w:r>
          </w:p>
        </w:tc>
      </w:tr>
      <w:tr w14:paraId="628A543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DBA14">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C0D5A">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7FD42">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BE49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C3CEA">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9392E8">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FAF6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14D1B">
            <w:pPr>
              <w:jc w:val="center"/>
            </w:pPr>
            <w:r>
              <w:rPr>
                <w:rFonts w:ascii="宋体" w:hAnsi="宋体" w:eastAsia="宋体"/>
                <w:sz w:val="16"/>
              </w:rPr>
              <w:t>5</w:t>
            </w:r>
          </w:p>
        </w:tc>
      </w:tr>
      <w:tr w14:paraId="327860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99191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C0D7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4EC3DC">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5E14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C800C">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C404C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FF3BB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1053B7">
            <w:pPr>
              <w:jc w:val="center"/>
            </w:pPr>
            <w:r>
              <w:rPr>
                <w:rFonts w:ascii="宋体" w:hAnsi="宋体" w:eastAsia="宋体"/>
                <w:sz w:val="16"/>
              </w:rPr>
              <w:t>5</w:t>
            </w:r>
          </w:p>
        </w:tc>
      </w:tr>
    </w:tbl>
    <w:p w14:paraId="09CC8A6C">
      <w:r>
        <w:br w:type="page"/>
      </w:r>
    </w:p>
    <w:p w14:paraId="5FBF17AE">
      <w:pPr>
        <w:spacing w:line="640" w:lineRule="exact"/>
        <w:ind w:firstLine="640"/>
        <w:jc w:val="both"/>
        <w:outlineLvl w:val="2"/>
      </w:pPr>
      <w:r>
        <w:rPr>
          <w:rFonts w:ascii="黑体" w:hAnsi="黑体" w:eastAsia="黑体"/>
          <w:sz w:val="32"/>
        </w:rPr>
        <w:t>十二、其他需说明的事项</w:t>
      </w:r>
    </w:p>
    <w:p w14:paraId="04DAD309">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384B561E">
      <w:r>
        <w:br w:type="page"/>
      </w:r>
    </w:p>
    <w:p w14:paraId="3B3912FB">
      <w:pPr>
        <w:spacing w:line="240" w:lineRule="auto"/>
        <w:jc w:val="center"/>
        <w:outlineLvl w:val="1"/>
      </w:pPr>
      <w:r>
        <w:rPr>
          <w:rFonts w:ascii="黑体" w:hAnsi="黑体" w:eastAsia="黑体"/>
          <w:sz w:val="32"/>
        </w:rPr>
        <w:t>第三部分 专业名词解释</w:t>
      </w:r>
    </w:p>
    <w:p w14:paraId="4910559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F52D87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1905DE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496FC6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9A143E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70CC72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822909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8E3762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EAD724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DF02AF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E3B72E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A8D639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F2302C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B82064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CB24580">
      <w:r>
        <w:br w:type="page"/>
      </w:r>
    </w:p>
    <w:p w14:paraId="7BB25367">
      <w:pPr>
        <w:spacing w:line="240" w:lineRule="auto"/>
        <w:jc w:val="center"/>
        <w:outlineLvl w:val="1"/>
      </w:pPr>
      <w:r>
        <w:rPr>
          <w:rFonts w:ascii="黑体" w:hAnsi="黑体" w:eastAsia="黑体"/>
          <w:sz w:val="32"/>
        </w:rPr>
        <w:t>第四部分 部门决算报表（见附表）</w:t>
      </w:r>
    </w:p>
    <w:p w14:paraId="369DCB62">
      <w:pPr>
        <w:spacing w:line="240" w:lineRule="auto"/>
        <w:ind w:firstLine="640"/>
        <w:jc w:val="both"/>
      </w:pPr>
      <w:r>
        <w:rPr>
          <w:rFonts w:ascii="仿宋_GB2312" w:hAnsi="仿宋_GB2312" w:eastAsia="仿宋_GB2312"/>
          <w:b w:val="0"/>
          <w:sz w:val="32"/>
        </w:rPr>
        <w:t>一、《收入支出决算总表》</w:t>
      </w:r>
    </w:p>
    <w:p w14:paraId="4AC3B948">
      <w:pPr>
        <w:spacing w:line="240" w:lineRule="auto"/>
        <w:ind w:firstLine="640"/>
        <w:jc w:val="both"/>
      </w:pPr>
      <w:r>
        <w:rPr>
          <w:rFonts w:ascii="仿宋_GB2312" w:hAnsi="仿宋_GB2312" w:eastAsia="仿宋_GB2312"/>
          <w:b w:val="0"/>
          <w:sz w:val="32"/>
        </w:rPr>
        <w:t>二、《收入决算表》</w:t>
      </w:r>
    </w:p>
    <w:p w14:paraId="03FC5707">
      <w:pPr>
        <w:spacing w:line="240" w:lineRule="auto"/>
        <w:ind w:firstLine="640"/>
        <w:jc w:val="both"/>
      </w:pPr>
      <w:r>
        <w:rPr>
          <w:rFonts w:ascii="仿宋_GB2312" w:hAnsi="仿宋_GB2312" w:eastAsia="仿宋_GB2312"/>
          <w:b w:val="0"/>
          <w:sz w:val="32"/>
        </w:rPr>
        <w:t>三、《支出决算表》</w:t>
      </w:r>
    </w:p>
    <w:p w14:paraId="305BB526">
      <w:pPr>
        <w:spacing w:line="240" w:lineRule="auto"/>
        <w:ind w:firstLine="640"/>
        <w:jc w:val="both"/>
      </w:pPr>
      <w:r>
        <w:rPr>
          <w:rFonts w:ascii="仿宋_GB2312" w:hAnsi="仿宋_GB2312" w:eastAsia="仿宋_GB2312"/>
          <w:b w:val="0"/>
          <w:sz w:val="32"/>
        </w:rPr>
        <w:t>四、《财政拨款收入支出决算总表》</w:t>
      </w:r>
    </w:p>
    <w:p w14:paraId="11E0D5BB">
      <w:pPr>
        <w:spacing w:line="240" w:lineRule="auto"/>
        <w:ind w:firstLine="640"/>
        <w:jc w:val="both"/>
      </w:pPr>
      <w:r>
        <w:rPr>
          <w:rFonts w:ascii="仿宋_GB2312" w:hAnsi="仿宋_GB2312" w:eastAsia="仿宋_GB2312"/>
          <w:b w:val="0"/>
          <w:sz w:val="32"/>
        </w:rPr>
        <w:t>五、《一般公共预算财政拨款支出决算表》</w:t>
      </w:r>
    </w:p>
    <w:p w14:paraId="22A5B96F">
      <w:pPr>
        <w:spacing w:line="240" w:lineRule="auto"/>
        <w:ind w:firstLine="640"/>
        <w:jc w:val="both"/>
      </w:pPr>
      <w:r>
        <w:rPr>
          <w:rFonts w:ascii="仿宋_GB2312" w:hAnsi="仿宋_GB2312" w:eastAsia="仿宋_GB2312"/>
          <w:b w:val="0"/>
          <w:sz w:val="32"/>
        </w:rPr>
        <w:t>六、《一般公共预算财政拨款基本支出决算表》</w:t>
      </w:r>
    </w:p>
    <w:p w14:paraId="49D08827">
      <w:pPr>
        <w:spacing w:line="240" w:lineRule="auto"/>
        <w:ind w:firstLine="640"/>
        <w:jc w:val="both"/>
      </w:pPr>
      <w:r>
        <w:rPr>
          <w:rFonts w:ascii="仿宋_GB2312" w:hAnsi="仿宋_GB2312" w:eastAsia="仿宋_GB2312"/>
          <w:b w:val="0"/>
          <w:sz w:val="32"/>
        </w:rPr>
        <w:t>七、《政府性基金预算财政拨款收入支出决算表》</w:t>
      </w:r>
    </w:p>
    <w:p w14:paraId="3F66B431">
      <w:pPr>
        <w:spacing w:line="240" w:lineRule="auto"/>
        <w:ind w:firstLine="640"/>
        <w:jc w:val="both"/>
      </w:pPr>
      <w:r>
        <w:rPr>
          <w:rFonts w:ascii="仿宋_GB2312" w:hAnsi="仿宋_GB2312" w:eastAsia="仿宋_GB2312"/>
          <w:b w:val="0"/>
          <w:sz w:val="32"/>
        </w:rPr>
        <w:t>八、《国有资本经营预算财政拨款收入支出决算表》</w:t>
      </w:r>
    </w:p>
    <w:p w14:paraId="3681601E">
      <w:pPr>
        <w:spacing w:line="240" w:lineRule="auto"/>
        <w:ind w:firstLine="640"/>
        <w:jc w:val="both"/>
      </w:pPr>
      <w:r>
        <w:rPr>
          <w:rFonts w:ascii="仿宋_GB2312" w:hAnsi="仿宋_GB2312" w:eastAsia="仿宋_GB2312"/>
          <w:b w:val="0"/>
          <w:sz w:val="32"/>
        </w:rPr>
        <w:t>九、《财政拨款“三公”经费支出决算表》</w:t>
      </w:r>
    </w:p>
    <w:p w14:paraId="7E80CC13">
      <w:pPr>
        <w:spacing w:line="240" w:lineRule="auto"/>
        <w:ind w:firstLine="640"/>
        <w:jc w:val="both"/>
      </w:pPr>
    </w:p>
    <w:p w14:paraId="55A9ABC4">
      <w:pPr>
        <w:spacing w:line="240" w:lineRule="auto"/>
        <w:ind w:firstLine="640"/>
        <w:jc w:val="both"/>
      </w:pPr>
    </w:p>
    <w:p w14:paraId="6E86914F">
      <w:pPr>
        <w:spacing w:line="240" w:lineRule="auto"/>
        <w:ind w:firstLine="640"/>
        <w:jc w:val="both"/>
      </w:pPr>
    </w:p>
    <w:p w14:paraId="68C973F5">
      <w:pPr>
        <w:spacing w:line="240" w:lineRule="auto"/>
        <w:ind w:firstLine="640"/>
        <w:jc w:val="both"/>
      </w:pPr>
    </w:p>
    <w:p w14:paraId="1D8A409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6DA22B-0064-44A5-981D-B5DD79A0BBC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E86EB8A-9BF0-4158-91E7-09F4C62415FB}"/>
  </w:font>
  <w:font w:name="仿宋_GB2312">
    <w:panose1 w:val="02010609030101010101"/>
    <w:charset w:val="86"/>
    <w:family w:val="modern"/>
    <w:pitch w:val="default"/>
    <w:sig w:usb0="00000001" w:usb1="080E0000" w:usb2="00000000" w:usb3="00000000" w:csb0="00040000" w:csb1="00000000"/>
    <w:embedRegular r:id="rId3" w:fontKey="{2DF667C3-015F-48A0-BB2F-74E4CC62227C}"/>
  </w:font>
  <w:font w:name="楷体_GB2312">
    <w:panose1 w:val="02010609030101010101"/>
    <w:charset w:val="86"/>
    <w:family w:val="auto"/>
    <w:pitch w:val="default"/>
    <w:sig w:usb0="00000001" w:usb1="080E0000" w:usb2="00000000" w:usb3="00000000" w:csb0="00040000" w:csb1="00000000"/>
    <w:embedRegular r:id="rId4" w:fontKey="{86B18C4C-6B00-46D1-BFAA-5F7893D170B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9E9373F"/>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483064"/>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4210</Words>
  <Characters>4884</Characters>
  <Lines>0</Lines>
  <Paragraphs>0</Paragraphs>
  <TotalTime>6</TotalTime>
  <ScaleCrop>false</ScaleCrop>
  <LinksUpToDate>false</LinksUpToDate>
  <CharactersWithSpaces>4892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2025-09-15T09:19:41Z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