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56470">
      <w:pPr>
        <w:spacing w:line="570" w:lineRule="exact"/>
        <w:jc w:val="center"/>
        <w:rPr>
          <w:rFonts w:ascii="华文中宋" w:hAnsi="华文中宋" w:eastAsia="华文中宋" w:cs="宋体"/>
          <w:b/>
          <w:kern w:val="0"/>
          <w:sz w:val="52"/>
          <w:szCs w:val="52"/>
        </w:rPr>
      </w:pPr>
    </w:p>
    <w:p w14:paraId="136EE4FE">
      <w:pPr>
        <w:spacing w:line="570" w:lineRule="exact"/>
        <w:jc w:val="center"/>
        <w:rPr>
          <w:rFonts w:ascii="华文中宋" w:hAnsi="华文中宋" w:eastAsia="华文中宋" w:cs="宋体"/>
          <w:b/>
          <w:kern w:val="0"/>
          <w:sz w:val="52"/>
          <w:szCs w:val="52"/>
        </w:rPr>
      </w:pPr>
    </w:p>
    <w:p w14:paraId="0CCE8BAC">
      <w:pPr>
        <w:spacing w:line="570" w:lineRule="exact"/>
        <w:jc w:val="center"/>
        <w:rPr>
          <w:rFonts w:ascii="华文中宋" w:hAnsi="华文中宋" w:eastAsia="华文中宋" w:cs="宋体"/>
          <w:b/>
          <w:kern w:val="0"/>
          <w:sz w:val="52"/>
          <w:szCs w:val="52"/>
        </w:rPr>
      </w:pPr>
    </w:p>
    <w:p w14:paraId="0F274E6B">
      <w:pPr>
        <w:spacing w:line="570" w:lineRule="exact"/>
        <w:jc w:val="center"/>
        <w:rPr>
          <w:rFonts w:ascii="华文中宋" w:hAnsi="华文中宋" w:eastAsia="华文中宋" w:cs="宋体"/>
          <w:b/>
          <w:kern w:val="0"/>
          <w:sz w:val="52"/>
          <w:szCs w:val="52"/>
        </w:rPr>
      </w:pPr>
    </w:p>
    <w:p w14:paraId="30B8AF7D">
      <w:pPr>
        <w:spacing w:line="570" w:lineRule="exact"/>
        <w:jc w:val="both"/>
        <w:rPr>
          <w:rFonts w:ascii="华文中宋" w:hAnsi="华文中宋" w:eastAsia="华文中宋" w:cs="宋体"/>
          <w:b/>
          <w:kern w:val="0"/>
          <w:sz w:val="52"/>
          <w:szCs w:val="52"/>
        </w:rPr>
      </w:pPr>
    </w:p>
    <w:p w14:paraId="258169D7">
      <w:pPr>
        <w:spacing w:line="570" w:lineRule="exact"/>
        <w:jc w:val="center"/>
        <w:rPr>
          <w:rFonts w:ascii="华文中宋" w:hAnsi="华文中宋" w:eastAsia="华文中宋" w:cs="宋体"/>
          <w:b/>
          <w:kern w:val="0"/>
          <w:sz w:val="52"/>
          <w:szCs w:val="52"/>
        </w:rPr>
      </w:pPr>
    </w:p>
    <w:p w14:paraId="4B869F43">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51B2DBE2">
      <w:pPr>
        <w:spacing w:line="570" w:lineRule="exact"/>
        <w:jc w:val="center"/>
        <w:rPr>
          <w:rFonts w:ascii="华文中宋" w:hAnsi="华文中宋" w:eastAsia="华文中宋" w:cs="宋体"/>
          <w:b/>
          <w:kern w:val="0"/>
          <w:sz w:val="52"/>
          <w:szCs w:val="52"/>
        </w:rPr>
      </w:pPr>
    </w:p>
    <w:p w14:paraId="6C0E9537">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A94B665">
      <w:pPr>
        <w:spacing w:line="570" w:lineRule="exact"/>
        <w:jc w:val="center"/>
        <w:rPr>
          <w:rFonts w:hAnsi="宋体" w:eastAsia="仿宋_GB2312" w:cs="宋体"/>
          <w:kern w:val="0"/>
          <w:sz w:val="30"/>
          <w:szCs w:val="30"/>
        </w:rPr>
      </w:pPr>
    </w:p>
    <w:p w14:paraId="05C7BBF8">
      <w:pPr>
        <w:spacing w:line="570" w:lineRule="exact"/>
        <w:jc w:val="center"/>
        <w:rPr>
          <w:rFonts w:hAnsi="宋体" w:eastAsia="仿宋_GB2312" w:cs="宋体"/>
          <w:kern w:val="0"/>
          <w:sz w:val="30"/>
          <w:szCs w:val="30"/>
        </w:rPr>
      </w:pPr>
    </w:p>
    <w:p w14:paraId="642B0D25">
      <w:pPr>
        <w:spacing w:line="570" w:lineRule="exact"/>
        <w:jc w:val="center"/>
        <w:rPr>
          <w:rFonts w:hAnsi="宋体" w:eastAsia="仿宋_GB2312" w:cs="宋体"/>
          <w:kern w:val="0"/>
          <w:sz w:val="30"/>
          <w:szCs w:val="30"/>
        </w:rPr>
      </w:pPr>
    </w:p>
    <w:p w14:paraId="749E3ABB">
      <w:pPr>
        <w:spacing w:line="570" w:lineRule="exact"/>
        <w:jc w:val="center"/>
        <w:rPr>
          <w:rFonts w:hAnsi="宋体" w:eastAsia="仿宋_GB2312" w:cs="宋体"/>
          <w:kern w:val="0"/>
          <w:sz w:val="30"/>
          <w:szCs w:val="30"/>
        </w:rPr>
      </w:pPr>
    </w:p>
    <w:p w14:paraId="77D79C79">
      <w:pPr>
        <w:spacing w:line="570" w:lineRule="exact"/>
        <w:jc w:val="center"/>
        <w:rPr>
          <w:rFonts w:hAnsi="宋体" w:eastAsia="仿宋_GB2312" w:cs="宋体"/>
          <w:kern w:val="0"/>
          <w:sz w:val="30"/>
          <w:szCs w:val="30"/>
        </w:rPr>
      </w:pPr>
    </w:p>
    <w:p w14:paraId="2C51B3CB">
      <w:pPr>
        <w:spacing w:line="570" w:lineRule="exact"/>
        <w:jc w:val="center"/>
        <w:rPr>
          <w:rFonts w:hAnsi="宋体" w:eastAsia="仿宋_GB2312" w:cs="宋体"/>
          <w:kern w:val="0"/>
          <w:sz w:val="30"/>
          <w:szCs w:val="30"/>
        </w:rPr>
      </w:pPr>
    </w:p>
    <w:p w14:paraId="5974C68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加乡2024年公益性岗位工资（县级）</w:t>
      </w:r>
    </w:p>
    <w:p w14:paraId="42BFC684">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阿克陶县加马铁热克乡人民政府</w:t>
      </w:r>
    </w:p>
    <w:p w14:paraId="7C61FD09">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主管部门（公章）：阿克陶县加马铁热克乡人民政府</w:t>
      </w:r>
      <w:bookmarkStart w:id="0" w:name="_GoBack"/>
      <w:bookmarkEnd w:id="0"/>
    </w:p>
    <w:p w14:paraId="59D4D901">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项小军</w:t>
      </w:r>
    </w:p>
    <w:p w14:paraId="79993A90">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2025年03月24日</w:t>
      </w:r>
    </w:p>
    <w:p w14:paraId="0166DCF3">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504B9A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F4A62B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13BAF4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一、基本情况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加马铁热克乡工岗工资项目实施前期、过程及效果，评价财政预算资金使用的效率及效益。该项目资金用于加马铁热克乡公岗人员工资、津贴、基本养老保险等，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马铁热克乡工岗工资208.78万元，由县财政承担，该项目资金主要用于加马铁热克乡公岗人员工资、津贴、基本养老保险等，通过该项目的实施，建立健全我乡公岗人员工资保障，确保我乡公岗人员基本工资，为我乡日常工作的顺利开展提供保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2024年度实际发放工岗工资12次，其中该指标支出金额105.84万元，通过该项目的实施，建立健全我乡公岗人员工资保障，确保我乡公岗人员基本工资，为我乡日常工作的顺利开展提供保障。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加马铁热克乡人民政府单位实施，阿克陶县加马铁热克乡2024年部门决算报表编制范围的单位共计9个，其中：行政单位2个，全额拨款事业单位7个。分别是：1、加马铁热克乡党委；2、加马铁热克乡政府；3、加马铁热克乡财政所；4、加马铁热克乡计生站；5、加马铁热克乡农业畜牧业发展服务中心；6、加马铁热克乡文化站；7、加马铁热克乡社会保障服务中心；8、加马铁热克乡食品药品监督所；9、加马铁热克乡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单位编制数共113人，其中：行政编制51人 、事业编制62人；截止2024年12月底部门实有人数167人，其中：行政编制107人、事业编制60人，退休人员53。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2024年本年度安排下达资金208.78万元，为本级财力安排，最终确定项目资金总数为208.78万元。其中：本级财政拨款208.78万元，自治区财政拨款0万元，上年结余0万元。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截至2024年12月31日，实际支出105.84万元，预算执行率50.7%。</w:t>
      </w:r>
    </w:p>
    <w:p w14:paraId="048193E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B052D7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该项目资金用于加马铁热克乡公岗人员工资、津贴、基本养老保险等，通过该项目的实施，建立健全我乡公岗人员工资保障，确保我乡公岗人员基本工资，为我乡日常工作的顺利开展提供保障。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“补助次数（次）”指标，预期指标值为=12次；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“补助人数（人）”指标，预期指标值为=43人；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“补助金发放及时率（%）”指标，预期指标值为=100%；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“发放总金额（万元）”指标，预期指标值为≤208.78万元；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“提升群众工作积极性”指标，预期指标值为有效提升；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“受益群体满意度（%）”指标，预期指标值为≥95%。</w:t>
      </w:r>
    </w:p>
    <w:p w14:paraId="7826C47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E327C0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789EB55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9B661B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B06DE5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加马铁热克乡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EB7379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01C804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张德勇任评价组组长，主要负责确定绩效评价木板、总体协调沟通、全盘统筹、总体质量把关等工作。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项小军任评价组副组长，主要负责绩效评价现场督导，对评价组成员的评价检查工作提供技术指导与支持，对实效评价工作质量把关。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秦宜芊任评价组成员，主要负责现场调研工作，完成收集整理资料、审核数据、填报绩效评价内容等工作。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6AF180D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21327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加马铁热克乡工岗工资”项目绩效进行客观公正的评价，本项目总得分为92.6分，绩效评级属于“优”。其中，决策类指标得分20分，过程类指标得分17.53分，产出类指标得分35.07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经评价，本项目达到了年初设立的绩效目标，在实施过程中取得了良好的成效，具体表现在：2024年度已完成12次发放工资，推动了公益性岗位人员生活保障产生公益性岗位人员工作积极性效益。</w:t>
      </w:r>
    </w:p>
    <w:p w14:paraId="4AFF714B">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25B394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2EF69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（1）立项依据充分性：阿克陶县加马铁热克乡人民政府职责组织实施。围绕阿克陶县加马铁热克乡人民政府 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（2）立项程序规范性：根据决策依据编制工作计划和经费预算，经过与阿克陶县加马铁热克乡人民政府 财经领导小组进行沟通、筛选确定经费预算计划，上会研究确定最终预算方案，根据评分标准，该指标不扣分，得2分。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（5）预算编制科学性：预算编制经公益性岗位12个月的工资，实际完成内容与项目内容匹配，项目投资额与工作任务相匹配，根据评分标准，该指标不扣分，得5分。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（6）资金分配合理性：资金分配按照每个月每人发3848.05元（包括个人实发工资和个人代扣部分）资金分配与实际相适应，根据评分标准，该指标不扣分，得5分。</w:t>
      </w:r>
    </w:p>
    <w:p w14:paraId="5CA68A0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C4DF5C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5个三级指标构成，权重分为20分，实际得分17.53分，得分率为87.65%。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（1）资金到位率：该项目总投资208.78万元，财政局实际下达经费208.78万元，其中当年财政拨款208.78万元，上年结转资金0万元，财政资金足额拨付到位，根据评分标准，该指标不扣分，得5分。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（2）预算执行率：本项目申请预算金额为208.78 万元，预算批复实际下达金额为208.78万元截至 2024年 12 月 31日，资金执行105.84万元，资金执行率50.7%。项目资金支出总体能够按照预算执行，根据评分标准，该指标扣2.47分，得2.53分。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加马铁热克乡人民政府（单位名称）财务制度》及公益性岗位工资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党委会会议研究执行，财务对资金的使用合法合规性进行监督，年底对资金使用效果进行自评，根据评分标准，该指标不扣分，得3分。</w:t>
      </w:r>
    </w:p>
    <w:p w14:paraId="74B45EB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A6D334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项目产出类指标包括产出数量、产出质量、产出时效、产出成本四方面的内容，由5个三级指标构成，权重分为40分，实际得分35.07分，得分率为87.68%。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补助次数（次）12次，预期目标一致，根据评分标准，该指标不扣分，得5分。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补助人数（人）43人，预期目标一致，根据评分标准，该指标不扣分，得5分。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补助覆盖率100%，与预期目标一致，根据评分标准，该指标不扣分，得10分。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补助资金发放及时率（%）100%，与预期目标指标不一致，根据评分标准，该指标不扣分，得10分。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发放总金额（万元）208.78万元，与预期目标存在偏差，根据评分标准，该指标扣4.93分，得5.07分。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存在偏差：预期绩效目标208.78 ，实际完成值为105.84万元，偏差率为50.7% ，偏差原因：12月份用临时指标来发放公益性岗位工资，采取的措施：无。</w:t>
      </w:r>
    </w:p>
    <w:p w14:paraId="6749ECB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274BD84">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项目效益类指标包括项目效益和满意度2个方面的内容，由3个三级指标构成，权重分为20分，实际得分20分，得分率为100%。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有效提高社会群众就业，与预期指标一致，根据评分标准，该指标不扣分，得5分。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提升群众工作积极性与预期指标一致，根据评分标准，该指标不扣分，得5分。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p>
    <w:p w14:paraId="3E066F34">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对于满意度指标：受益群体满意度≥95%，与预期目标一致，根据评分标准，该指标不扣分，得10分。</w:t>
      </w:r>
    </w:p>
    <w:p w14:paraId="49212919">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23D0ED7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偏差：加马铁热克乡工岗工资项目预算208.78万元，到位208.78万元，实际支出105.84万元，预算执行率为50.7%，项目绩效指标总体完成率为93.8%，偏差率为6.2%，偏差原因由于12月份用临时指标来发放公益性岗位工资，采取的措施无。</w:t>
      </w:r>
    </w:p>
    <w:p w14:paraId="516E4E7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0B4A2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6B534C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0346C66D">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58C02D1">
        <w:pPr>
          <w:pStyle w:val="12"/>
          <w:jc w:val="center"/>
        </w:pPr>
        <w:r>
          <w:fldChar w:fldCharType="begin"/>
        </w:r>
        <w:r>
          <w:instrText xml:space="preserve">PAGE   \* MERGEFORMAT</w:instrText>
        </w:r>
        <w:r>
          <w:fldChar w:fldCharType="separate"/>
        </w:r>
        <w:r>
          <w:rPr>
            <w:lang w:val="zh-CN"/>
          </w:rPr>
          <w:t>1</w:t>
        </w:r>
        <w:r>
          <w:fldChar w:fldCharType="end"/>
        </w:r>
      </w:p>
    </w:sdtContent>
  </w:sdt>
  <w:p w14:paraId="4A373CA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6D5D7200"/>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7161</Words>
  <Characters>7505</Characters>
  <Lines>5</Lines>
  <Paragraphs>1</Paragraphs>
  <TotalTime>0</TotalTime>
  <ScaleCrop>false</ScaleCrop>
  <LinksUpToDate>false</LinksUpToDate>
  <CharactersWithSpaces>7719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忆</cp:lastModifiedBy>
  <cp:lastPrinted>2018-12-31T10:56:00Z</cp:lastPrinted>
  <dcterms:modified xsi:type="dcterms:W3CDTF">2025-09-15T04:31:55Z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eyJoZGlkIjoiZWE5M2E4OTRkNmEwYTUyNjM2Mzg3NThiMTA5NmIzZWUiLCJ1c2VySWQiOiI0OTMxMTE3MjUifQ==</vt:lpwstr>
  </property>
  <property fmtid="{D5CDD505-2E9C-101B-9397-08002B2CF9AE}" pid="4" name="ICV">
    <vt:lpwstr>FF0E4DEC8A6B4DDD804675005D44BEB8_12</vt:lpwstr>
  </property>
</Properties>
</file>