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阿克陶县玉麦镇第一中学2024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8512EB">
      <w:r>
        <w:br w:type="page"/>
      </w:r>
    </w:p>
    <w:p w14:paraId="0066F094">
      <w:pPr>
        <w:spacing w:line="640" w:lineRule="exact"/>
        <w:jc w:val="center"/>
        <w:outlineLvl w:val="1"/>
      </w:pPr>
      <w:r>
        <w:rPr>
          <w:rFonts w:ascii="黑体" w:hAnsi="黑体" w:eastAsia="黑体"/>
          <w:sz w:val="32"/>
        </w:rPr>
        <w:t>第一部分 单位概况</w:t>
      </w:r>
    </w:p>
    <w:p w14:paraId="0ADB883B">
      <w:pPr>
        <w:spacing w:line="640" w:lineRule="exact"/>
        <w:ind w:firstLine="640"/>
        <w:jc w:val="both"/>
        <w:outlineLvl w:val="2"/>
      </w:pPr>
      <w:r>
        <w:rPr>
          <w:rFonts w:ascii="黑体" w:hAnsi="黑体" w:eastAsia="黑体"/>
          <w:sz w:val="32"/>
        </w:rPr>
        <w:t>一、主要职能</w:t>
      </w:r>
    </w:p>
    <w:p w14:paraId="37DC99A0">
      <w:pPr>
        <w:spacing w:line="580" w:lineRule="exact"/>
        <w:ind w:firstLine="640"/>
        <w:jc w:val="both"/>
      </w:pPr>
      <w:r>
        <w:rPr>
          <w:rFonts w:ascii="仿宋_GB2312" w:hAnsi="仿宋_GB2312" w:eastAsia="仿宋_GB2312"/>
          <w:sz w:val="32"/>
        </w:rPr>
        <w:t>阿克陶县玉麦镇第一中学是一所全日制初等教育的中学，其宗旨和业务范围是“实施初等义务教育，促进基础教育发展，初等义务教育及相关社会服务”。培养目标为：培养具有良好道德素质、扎实基础理论、健康的心理素质、健全的人格素养、全面发展的社会主义现</w:t>
      </w:r>
      <w:r>
        <w:rPr>
          <w:rFonts w:hint="eastAsia" w:ascii="仿宋_GB2312" w:hAnsi="仿宋_GB2312" w:eastAsia="仿宋_GB2312"/>
          <w:sz w:val="32"/>
          <w:lang w:eastAsia="zh-CN"/>
        </w:rPr>
        <w:t>代化</w:t>
      </w:r>
      <w:r>
        <w:rPr>
          <w:rFonts w:ascii="仿宋_GB2312" w:hAnsi="仿宋_GB2312" w:eastAsia="仿宋_GB2312"/>
          <w:sz w:val="32"/>
        </w:rPr>
        <w:t>建设者和接班人。</w:t>
      </w:r>
    </w:p>
    <w:p w14:paraId="792136AA">
      <w:pPr>
        <w:spacing w:line="640" w:lineRule="exact"/>
        <w:ind w:firstLine="640"/>
        <w:jc w:val="both"/>
        <w:outlineLvl w:val="2"/>
      </w:pPr>
      <w:r>
        <w:rPr>
          <w:rFonts w:ascii="黑体" w:hAnsi="黑体" w:eastAsia="黑体"/>
          <w:sz w:val="32"/>
        </w:rPr>
        <w:t>二、机构设置及人员情况</w:t>
      </w:r>
    </w:p>
    <w:p w14:paraId="721EB71C">
      <w:pPr>
        <w:spacing w:line="580" w:lineRule="exact"/>
        <w:ind w:firstLine="640"/>
        <w:jc w:val="both"/>
      </w:pPr>
      <w:r>
        <w:rPr>
          <w:rFonts w:ascii="仿宋_GB2312" w:hAnsi="仿宋_GB2312" w:eastAsia="仿宋_GB2312"/>
          <w:sz w:val="32"/>
        </w:rPr>
        <w:t>阿克陶县玉麦镇第一中学2024年度，实有人数147人，其中：在职人员126人，减少3人；离休人员0人，增加0人；退休人员21人,增加2人。</w:t>
      </w:r>
    </w:p>
    <w:p w14:paraId="40DAD050">
      <w:pPr>
        <w:spacing w:line="580" w:lineRule="exact"/>
        <w:ind w:firstLine="640"/>
        <w:jc w:val="both"/>
      </w:pPr>
      <w:r>
        <w:rPr>
          <w:rFonts w:ascii="仿宋_GB2312" w:hAnsi="仿宋_GB2312" w:eastAsia="仿宋_GB2312"/>
          <w:sz w:val="32"/>
        </w:rPr>
        <w:t>阿克陶县玉麦镇第一中学无下属预算单位，下设8个科室，分别是：校办公室、教务处、教研室、德育处、校工会办公室、财务室、总务处、党建办。</w:t>
      </w:r>
    </w:p>
    <w:p w14:paraId="502F689F">
      <w:r>
        <w:br w:type="page"/>
      </w:r>
    </w:p>
    <w:p w14:paraId="64B08BCC">
      <w:pPr>
        <w:spacing w:line="240" w:lineRule="auto"/>
        <w:jc w:val="center"/>
        <w:outlineLvl w:val="1"/>
      </w:pPr>
      <w:r>
        <w:rPr>
          <w:rFonts w:ascii="黑体" w:hAnsi="黑体" w:eastAsia="黑体"/>
          <w:sz w:val="32"/>
        </w:rPr>
        <w:t>第二部分 部门决算情况说明</w:t>
      </w:r>
    </w:p>
    <w:p w14:paraId="4A119465">
      <w:pPr>
        <w:spacing w:line="640" w:lineRule="exact"/>
        <w:ind w:firstLine="640"/>
        <w:jc w:val="both"/>
        <w:outlineLvl w:val="2"/>
      </w:pPr>
      <w:r>
        <w:rPr>
          <w:rFonts w:ascii="黑体" w:hAnsi="黑体" w:eastAsia="黑体"/>
          <w:sz w:val="32"/>
        </w:rPr>
        <w:t>一、收入支出决算总体情况说明</w:t>
      </w:r>
    </w:p>
    <w:p w14:paraId="41F7FFCB">
      <w:pPr>
        <w:spacing w:line="580" w:lineRule="exact"/>
        <w:ind w:firstLine="640"/>
        <w:jc w:val="both"/>
      </w:pPr>
      <w:r>
        <w:rPr>
          <w:rFonts w:ascii="仿宋_GB2312" w:hAnsi="仿宋_GB2312" w:eastAsia="仿宋_GB2312"/>
          <w:b/>
          <w:sz w:val="32"/>
        </w:rPr>
        <w:t>2024年度收入总计3,059.20万元，</w:t>
      </w:r>
      <w:r>
        <w:rPr>
          <w:rFonts w:ascii="仿宋_GB2312" w:hAnsi="仿宋_GB2312" w:eastAsia="仿宋_GB2312"/>
          <w:b w:val="0"/>
          <w:sz w:val="32"/>
        </w:rPr>
        <w:t>其中：本年收入合计3,058.70万元，使用非财政拨款结余（含专用结余）0.00万元，年初结转和结余0.50万元。</w:t>
      </w:r>
    </w:p>
    <w:p w14:paraId="67376805">
      <w:pPr>
        <w:spacing w:line="580" w:lineRule="exact"/>
        <w:ind w:firstLine="640"/>
        <w:jc w:val="both"/>
      </w:pPr>
      <w:r>
        <w:rPr>
          <w:rFonts w:ascii="仿宋_GB2312" w:hAnsi="仿宋_GB2312" w:eastAsia="仿宋_GB2312"/>
          <w:b/>
          <w:sz w:val="32"/>
        </w:rPr>
        <w:t>2024年度支出总计3,059.20万元，</w:t>
      </w:r>
      <w:r>
        <w:rPr>
          <w:rFonts w:ascii="仿宋_GB2312" w:hAnsi="仿宋_GB2312" w:eastAsia="仿宋_GB2312"/>
          <w:b w:val="0"/>
          <w:sz w:val="32"/>
        </w:rPr>
        <w:t>其中：本年支出合计3,059.17万元，结余分配0.00万元，年末结转和结余0.03万元。</w:t>
      </w:r>
    </w:p>
    <w:p w14:paraId="165F4708">
      <w:pPr>
        <w:spacing w:line="580" w:lineRule="exact"/>
        <w:ind w:firstLine="640"/>
        <w:jc w:val="both"/>
      </w:pPr>
      <w:r>
        <w:rPr>
          <w:rFonts w:ascii="仿宋_GB2312" w:hAnsi="仿宋_GB2312" w:eastAsia="仿宋_GB2312"/>
          <w:b w:val="0"/>
          <w:sz w:val="32"/>
        </w:rPr>
        <w:t>收入支出总体与上年相比，增加53.99万元，增长1.80%，主要原因是：一是本年在职人员补发了艰苦地区津贴。二是本年在职人员工资调增，社保、公积金基数调增，人员经费增加。</w:t>
      </w:r>
    </w:p>
    <w:p w14:paraId="1126B2EE">
      <w:pPr>
        <w:spacing w:line="640" w:lineRule="exact"/>
        <w:ind w:firstLine="640"/>
        <w:jc w:val="both"/>
        <w:outlineLvl w:val="2"/>
      </w:pPr>
      <w:r>
        <w:rPr>
          <w:rFonts w:ascii="黑体" w:hAnsi="黑体" w:eastAsia="黑体"/>
          <w:sz w:val="32"/>
        </w:rPr>
        <w:t>二、收入决算情况说明</w:t>
      </w:r>
    </w:p>
    <w:p w14:paraId="605F09A5">
      <w:pPr>
        <w:spacing w:line="580" w:lineRule="exact"/>
        <w:ind w:firstLine="640"/>
        <w:jc w:val="both"/>
      </w:pPr>
      <w:r>
        <w:rPr>
          <w:rFonts w:ascii="仿宋_GB2312" w:hAnsi="仿宋_GB2312" w:eastAsia="仿宋_GB2312"/>
          <w:b/>
          <w:sz w:val="32"/>
        </w:rPr>
        <w:t>本年收入3,058.70万元，</w:t>
      </w:r>
      <w:r>
        <w:rPr>
          <w:rFonts w:ascii="仿宋_GB2312" w:hAnsi="仿宋_GB2312" w:eastAsia="仿宋_GB2312"/>
          <w:b w:val="0"/>
          <w:sz w:val="32"/>
        </w:rPr>
        <w:t>其中：财政拨款收入3,058.65万元，占100.00%；上级补助收入0.00万元，占0.00%；事业收入0.00万元，占0.00%；经营收入0.00万元，占0.00%；附属单位上缴收入0.00万元，占0.00%；其他收入0.06万元，占0.002%。</w:t>
      </w:r>
    </w:p>
    <w:p w14:paraId="65E2ECCB">
      <w:pPr>
        <w:spacing w:line="640" w:lineRule="exact"/>
        <w:ind w:firstLine="640"/>
        <w:jc w:val="both"/>
        <w:outlineLvl w:val="2"/>
      </w:pPr>
      <w:r>
        <w:rPr>
          <w:rFonts w:ascii="黑体" w:hAnsi="黑体" w:eastAsia="黑体"/>
          <w:sz w:val="32"/>
        </w:rPr>
        <w:t>三、支出决算情况说明</w:t>
      </w:r>
    </w:p>
    <w:p w14:paraId="2AFE6628">
      <w:pPr>
        <w:spacing w:line="580" w:lineRule="exact"/>
        <w:ind w:firstLine="640"/>
        <w:jc w:val="both"/>
      </w:pPr>
      <w:r>
        <w:rPr>
          <w:rFonts w:ascii="仿宋_GB2312" w:hAnsi="仿宋_GB2312" w:eastAsia="仿宋_GB2312"/>
          <w:b/>
          <w:sz w:val="32"/>
        </w:rPr>
        <w:t>本年支出3,059.17万元，</w:t>
      </w:r>
      <w:r>
        <w:rPr>
          <w:rFonts w:ascii="仿宋_GB2312" w:hAnsi="仿宋_GB2312" w:eastAsia="仿宋_GB2312"/>
          <w:b w:val="0"/>
          <w:sz w:val="32"/>
        </w:rPr>
        <w:t>其中：基本支出2,982.00万元，占97.48%；项目支出77.17万元，占2.52%；上缴上级支出0.00万元，占0.00%；经营支出0.00万元，占0.00%；对附属单位补助支出0.00万元，占0.00%。</w:t>
      </w:r>
    </w:p>
    <w:p w14:paraId="30C42B78">
      <w:pPr>
        <w:spacing w:line="640" w:lineRule="exact"/>
        <w:ind w:firstLine="640"/>
        <w:jc w:val="both"/>
        <w:outlineLvl w:val="2"/>
      </w:pPr>
      <w:r>
        <w:rPr>
          <w:rFonts w:ascii="黑体" w:hAnsi="黑体" w:eastAsia="黑体"/>
          <w:sz w:val="32"/>
        </w:rPr>
        <w:t>四、财政拨款收入支出决算总体情况说明</w:t>
      </w:r>
    </w:p>
    <w:p w14:paraId="35F9B0AD">
      <w:pPr>
        <w:spacing w:line="580" w:lineRule="exact"/>
        <w:ind w:firstLine="640"/>
        <w:jc w:val="both"/>
      </w:pPr>
      <w:r>
        <w:rPr>
          <w:rFonts w:ascii="仿宋_GB2312" w:hAnsi="仿宋_GB2312" w:eastAsia="仿宋_GB2312"/>
          <w:b/>
          <w:sz w:val="32"/>
        </w:rPr>
        <w:t>2024年度财政拨款收入总计3,058.65万元，</w:t>
      </w:r>
      <w:r>
        <w:rPr>
          <w:rFonts w:ascii="仿宋_GB2312" w:hAnsi="仿宋_GB2312" w:eastAsia="仿宋_GB2312"/>
          <w:b w:val="0"/>
          <w:sz w:val="32"/>
        </w:rPr>
        <w:t>其中：年初财政拨款结转和结余0.00万元，本年财政拨款收入3,058.65万元。</w:t>
      </w:r>
      <w:r>
        <w:rPr>
          <w:rFonts w:ascii="仿宋_GB2312" w:hAnsi="仿宋_GB2312" w:eastAsia="仿宋_GB2312"/>
          <w:b/>
          <w:sz w:val="32"/>
        </w:rPr>
        <w:t>财政拨款支出总计3,058.65万元，</w:t>
      </w:r>
      <w:r>
        <w:rPr>
          <w:rFonts w:ascii="仿宋_GB2312" w:hAnsi="仿宋_GB2312" w:eastAsia="仿宋_GB2312"/>
          <w:b w:val="0"/>
          <w:sz w:val="32"/>
        </w:rPr>
        <w:t>其中：年末财政拨款结转和结余0.00万元，本年财政拨款支出3,058.65万元。</w:t>
      </w:r>
    </w:p>
    <w:p w14:paraId="7971B21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增加64.89万元，增长2.17%，主要原因是：一是本年在职人员补发了艰苦地区津贴。二是本年在职人员工资调增，社保、公积金基数调增，人员经费增加。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年初预算数2,777.08万元，决算数3,058.65万元，预决算差异率10.14%，主要原因是：年中追加人员工资、社保、公积金基数调增部分资金，导致预决算存在差异。</w:t>
      </w:r>
    </w:p>
    <w:p w14:paraId="779414AF">
      <w:pPr>
        <w:spacing w:line="640" w:lineRule="exact"/>
        <w:ind w:firstLine="640"/>
        <w:jc w:val="both"/>
        <w:outlineLvl w:val="2"/>
      </w:pPr>
      <w:r>
        <w:rPr>
          <w:rFonts w:ascii="黑体" w:hAnsi="黑体" w:eastAsia="黑体"/>
          <w:sz w:val="32"/>
        </w:rPr>
        <w:t>五、一般公共预算财政拨款支出决算情况说明</w:t>
      </w:r>
    </w:p>
    <w:p w14:paraId="17930FA8">
      <w:pPr>
        <w:spacing w:line="640" w:lineRule="exact"/>
        <w:ind w:firstLine="640"/>
        <w:jc w:val="both"/>
        <w:outlineLvl w:val="3"/>
      </w:pPr>
      <w:r>
        <w:rPr>
          <w:rFonts w:ascii="楷体_GB2312" w:hAnsi="楷体_GB2312" w:eastAsia="楷体_GB2312"/>
          <w:b/>
          <w:sz w:val="32"/>
        </w:rPr>
        <w:t>（一）一般公共预算财政拨款支出决算总体情况</w:t>
      </w:r>
    </w:p>
    <w:p w14:paraId="6757F2AE">
      <w:pPr>
        <w:spacing w:line="580" w:lineRule="exact"/>
        <w:ind w:firstLine="640"/>
        <w:jc w:val="both"/>
      </w:pPr>
      <w:r>
        <w:rPr>
          <w:rFonts w:ascii="仿宋_GB2312" w:hAnsi="仿宋_GB2312" w:eastAsia="仿宋_GB2312"/>
          <w:b/>
          <w:sz w:val="32"/>
        </w:rPr>
        <w:t>2024年度一般公共预算财政拨款支出3,058.65万元，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增加67.89万元，增长2.27%，主要原因是：一是本年在职人员补发了艰苦地区津贴。二是本年在职人员工资调增，社保、公积金基数调增，人员经费增加。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年初预算数2,777.08万元，决算数3,058.65万元，预决算差异率10.14%，主要原因是：年中追加人员工资、社保、公积金基数调增部分资金，导致预决算存在差异。</w:t>
      </w:r>
    </w:p>
    <w:p w14:paraId="56B93FED">
      <w:pPr>
        <w:spacing w:line="640" w:lineRule="exact"/>
        <w:ind w:firstLine="640"/>
        <w:jc w:val="both"/>
        <w:outlineLvl w:val="3"/>
      </w:pPr>
      <w:r>
        <w:rPr>
          <w:rFonts w:ascii="楷体_GB2312" w:hAnsi="楷体_GB2312" w:eastAsia="楷体_GB2312"/>
          <w:b/>
          <w:sz w:val="32"/>
        </w:rPr>
        <w:t>（二）一般公共预算财政拨款支出决算结构情况</w:t>
      </w:r>
    </w:p>
    <w:p w14:paraId="2348224C">
      <w:pPr>
        <w:spacing w:line="580" w:lineRule="exact"/>
        <w:ind w:firstLine="640"/>
        <w:jc w:val="both"/>
      </w:pPr>
      <w:r>
        <w:rPr>
          <w:rFonts w:ascii="仿宋_GB2312" w:hAnsi="仿宋_GB2312" w:eastAsia="仿宋_GB2312"/>
          <w:b w:val="0"/>
          <w:sz w:val="32"/>
        </w:rPr>
        <w:t>1.教育支出(类)3,058.65万元,占100.00%。</w:t>
      </w:r>
    </w:p>
    <w:p w14:paraId="2FEEB1AE">
      <w:pPr>
        <w:spacing w:line="640" w:lineRule="exact"/>
        <w:ind w:firstLine="640"/>
        <w:jc w:val="both"/>
        <w:outlineLvl w:val="3"/>
      </w:pPr>
      <w:r>
        <w:rPr>
          <w:rFonts w:ascii="楷体_GB2312" w:hAnsi="楷体_GB2312" w:eastAsia="楷体_GB2312"/>
          <w:b/>
          <w:sz w:val="32"/>
        </w:rPr>
        <w:t>（三）一般公共预算财政拨款支出决算具体情况</w:t>
      </w:r>
    </w:p>
    <w:p w14:paraId="49A857B2">
      <w:pPr>
        <w:spacing w:line="580" w:lineRule="exact"/>
        <w:ind w:firstLine="640"/>
        <w:jc w:val="both"/>
      </w:pPr>
      <w:r>
        <w:rPr>
          <w:rFonts w:ascii="仿宋_GB2312" w:hAnsi="仿宋_GB2312" w:eastAsia="仿宋_GB2312"/>
          <w:b w:val="0"/>
          <w:sz w:val="32"/>
        </w:rPr>
        <w:t>1.教育支出(类)普通教育(款)初中教育(项):支出决算数为3,058.65万元，比上年决算增加323.90万元，增长11.84%,主要原因是：一是本年在职人员补发了艰苦地区津贴。二是本年在职人员工资调增，社保、公积金基数调增，人员经费增加。三是本年功能科目调整，养老保险缴费上年度单独列支，本年调整至主科目列支，导致经费较上年增加。</w:t>
      </w:r>
    </w:p>
    <w:p w14:paraId="680C689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256.02万元，下降100.00%,主要原因是：本年功能科目调整，养老保险缴费上年度单独列支，本年调整至主科目列支，导致经费较上年减少。</w:t>
      </w:r>
    </w:p>
    <w:p w14:paraId="527577EA">
      <w:pPr>
        <w:spacing w:line="640" w:lineRule="exact"/>
        <w:ind w:firstLine="640"/>
        <w:jc w:val="both"/>
        <w:outlineLvl w:val="2"/>
      </w:pPr>
      <w:r>
        <w:rPr>
          <w:rFonts w:ascii="黑体" w:hAnsi="黑体" w:eastAsia="黑体"/>
          <w:sz w:val="32"/>
        </w:rPr>
        <w:t>六、一般公共预算财政拨款基本支出决算情况说明</w:t>
      </w:r>
    </w:p>
    <w:p w14:paraId="69E4D707">
      <w:pPr>
        <w:spacing w:line="580" w:lineRule="exact"/>
        <w:ind w:firstLine="640"/>
        <w:jc w:val="both"/>
      </w:pPr>
      <w:r>
        <w:rPr>
          <w:rFonts w:ascii="仿宋_GB2312" w:hAnsi="仿宋_GB2312" w:eastAsia="仿宋_GB2312"/>
          <w:b w:val="0"/>
          <w:sz w:val="32"/>
        </w:rPr>
        <w:t>2024年度一般公共预算财政拨款基本支出2,982.00万元，其中：</w:t>
      </w:r>
      <w:r>
        <w:rPr>
          <w:rFonts w:ascii="仿宋_GB2312" w:hAnsi="仿宋_GB2312" w:eastAsia="仿宋_GB2312"/>
          <w:b/>
          <w:sz w:val="32"/>
        </w:rPr>
        <w:t>人员经费2,921.00万元，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包括：基本工资、津贴补贴、奖金、机关事业单位基本养老保险缴费、职业年金缴费、职工基本医疗保险缴费、其他社会保障缴费、住房公积金、退休费、抚恤金、生活补助、其他对个人和家庭的补助。</w:t>
      </w:r>
    </w:p>
    <w:p w14:paraId="2CB16D6B">
      <w:pPr>
        <w:spacing w:line="580" w:lineRule="exact"/>
        <w:ind w:firstLine="640"/>
        <w:jc w:val="both"/>
      </w:pPr>
      <w:r>
        <w:rPr>
          <w:rFonts w:ascii="仿宋_GB2312" w:hAnsi="仿宋_GB2312" w:eastAsia="仿宋_GB2312"/>
          <w:b/>
          <w:sz w:val="32"/>
        </w:rPr>
        <w:t>公用经费61.00万元，</w:t>
      </w:r>
      <w:r>
        <w:rPr>
          <w:rFonts w:ascii="仿宋_GB2312" w:hAnsi="仿宋_GB2312" w:eastAsia="仿宋_GB2312"/>
          <w:b w:val="0"/>
          <w:sz w:val="32"/>
        </w:rPr>
        <w:t>包括：办公费、水费、电费、邮电费、取暖费、维修（护）费、培训费、专用材料费、其他交通费用、其他商品和服务支出、办公设备购置。</w:t>
      </w:r>
    </w:p>
    <w:p w14:paraId="467DB288">
      <w:pPr>
        <w:spacing w:line="640" w:lineRule="exact"/>
        <w:ind w:firstLine="640"/>
        <w:jc w:val="both"/>
        <w:outlineLvl w:val="2"/>
      </w:pPr>
      <w:r>
        <w:rPr>
          <w:rFonts w:ascii="黑体" w:hAnsi="黑体" w:eastAsia="黑体"/>
          <w:sz w:val="32"/>
        </w:rPr>
        <w:t>七、政府性基金预算财政拨款收入支出决算情况说明</w:t>
      </w:r>
    </w:p>
    <w:p w14:paraId="296F1C71">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4584007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减少3.00万元，下降100.00%，主要原因是：本年少年宫活动经费较上年度减少。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67BA6009">
      <w:pPr>
        <w:spacing w:line="580" w:lineRule="exact"/>
        <w:ind w:firstLine="640"/>
        <w:jc w:val="both"/>
      </w:pPr>
      <w:r>
        <w:rPr>
          <w:rFonts w:ascii="仿宋_GB2312" w:hAnsi="仿宋_GB2312" w:eastAsia="仿宋_GB2312"/>
          <w:b w:val="0"/>
          <w:sz w:val="32"/>
        </w:rPr>
        <w:t>政府性基金预算财政拨款支出0.00万元。</w:t>
      </w:r>
    </w:p>
    <w:p w14:paraId="04EFC2D1">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1.其他支出(类)彩票公益金安排的支出(款)用于教育事业的彩票公益金支出(项):支出决算数为0.00万元，比上年决算减少3.00万元，下降100.00%,主要原因是：本年少年宫活动经费较上年度减少。</w:t>
      </w:r>
    </w:p>
    <w:p w14:paraId="05C4B71B">
      <w:pPr>
        <w:spacing w:line="640" w:lineRule="exact"/>
        <w:ind w:firstLine="640"/>
        <w:jc w:val="both"/>
        <w:outlineLvl w:val="2"/>
      </w:pPr>
      <w:r>
        <w:rPr>
          <w:rFonts w:ascii="黑体" w:hAnsi="黑体" w:eastAsia="黑体"/>
          <w:sz w:val="32"/>
        </w:rPr>
        <w:t>八、国有资本经营预算财政拨款收入支出决算情况说明</w:t>
      </w:r>
    </w:p>
    <w:p w14:paraId="15C3B72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79050AC">
      <w:pPr>
        <w:spacing w:line="640" w:lineRule="exact"/>
        <w:ind w:firstLine="640"/>
        <w:jc w:val="both"/>
        <w:outlineLvl w:val="2"/>
      </w:pPr>
      <w:r>
        <w:rPr>
          <w:rFonts w:ascii="黑体" w:hAnsi="黑体" w:eastAsia="黑体"/>
          <w:sz w:val="32"/>
        </w:rPr>
        <w:t>九、财政拨款“三公”经费支出决算情况说明</w:t>
      </w:r>
    </w:p>
    <w:p w14:paraId="4F3C40B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1CB3601">
      <w:pPr>
        <w:spacing w:line="580" w:lineRule="exact"/>
        <w:ind w:firstLine="640"/>
        <w:jc w:val="both"/>
      </w:pPr>
      <w:r>
        <w:rPr>
          <w:rFonts w:ascii="仿宋_GB2312" w:hAnsi="仿宋_GB2312" w:eastAsia="仿宋_GB2312"/>
          <w:b/>
          <w:sz w:val="32"/>
        </w:rPr>
        <w:t>具体情况如下：</w:t>
      </w:r>
    </w:p>
    <w:p w14:paraId="2BB1E8D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FCFD3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982365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BF3D77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ED60737">
      <w:pPr>
        <w:spacing w:line="640" w:lineRule="exact"/>
        <w:ind w:firstLine="640"/>
        <w:jc w:val="both"/>
        <w:outlineLvl w:val="2"/>
      </w:pPr>
      <w:r>
        <w:rPr>
          <w:rFonts w:ascii="黑体" w:hAnsi="黑体" w:eastAsia="黑体"/>
          <w:sz w:val="32"/>
        </w:rPr>
        <w:t>十、其他重要事项的情况说明</w:t>
      </w:r>
    </w:p>
    <w:p w14:paraId="4DA65541">
      <w:pPr>
        <w:spacing w:line="640" w:lineRule="exact"/>
        <w:ind w:firstLine="640"/>
        <w:jc w:val="both"/>
        <w:outlineLvl w:val="3"/>
      </w:pPr>
      <w:r>
        <w:rPr>
          <w:rFonts w:ascii="楷体_GB2312" w:hAnsi="楷体_GB2312" w:eastAsia="楷体_GB2312"/>
          <w:b/>
          <w:sz w:val="32"/>
        </w:rPr>
        <w:t>（一）机关运行经费及公用经费支出情况</w:t>
      </w:r>
    </w:p>
    <w:p w14:paraId="4BCF6773">
      <w:pPr>
        <w:spacing w:line="580" w:lineRule="exact"/>
        <w:ind w:firstLine="640"/>
        <w:jc w:val="both"/>
      </w:pPr>
      <w:r>
        <w:rPr>
          <w:rFonts w:ascii="仿宋_GB2312" w:hAnsi="仿宋_GB2312" w:eastAsia="仿宋_GB2312"/>
          <w:b w:val="0"/>
          <w:sz w:val="32"/>
        </w:rPr>
        <w:t>2024年度阿克陶县玉麦镇第一中学（事业单位）公用经费支出61.00万元，比上年增加61.00万元，增长100.00%，主要原因是：本年增加办公费、电费、水费、邮电费、取暖费、维修费、培训费、其他交通费等经费，导致公用经费增加。</w:t>
      </w:r>
    </w:p>
    <w:p w14:paraId="75FC4446">
      <w:pPr>
        <w:spacing w:line="640" w:lineRule="exact"/>
        <w:ind w:firstLine="640"/>
        <w:jc w:val="both"/>
        <w:outlineLvl w:val="3"/>
      </w:pPr>
      <w:r>
        <w:rPr>
          <w:rFonts w:ascii="楷体_GB2312" w:hAnsi="楷体_GB2312" w:eastAsia="楷体_GB2312"/>
          <w:b/>
          <w:sz w:val="32"/>
        </w:rPr>
        <w:t>（二）政府采购情况</w:t>
      </w:r>
    </w:p>
    <w:p w14:paraId="19260100">
      <w:pPr>
        <w:spacing w:line="580" w:lineRule="exact"/>
        <w:ind w:firstLine="640"/>
        <w:jc w:val="both"/>
      </w:pPr>
      <w:r>
        <w:rPr>
          <w:rFonts w:ascii="仿宋_GB2312" w:hAnsi="仿宋_GB2312" w:eastAsia="仿宋_GB2312"/>
          <w:b w:val="0"/>
          <w:sz w:val="32"/>
        </w:rPr>
        <w:t>2024年度政府采购支出总额2.01万元，其中：政府采购货物支出2.01万元、政府采购工程支出0.00万元、政府采购服务支出0.00万元。</w:t>
      </w:r>
    </w:p>
    <w:p w14:paraId="23D07183">
      <w:pPr>
        <w:spacing w:line="580" w:lineRule="exact"/>
        <w:ind w:firstLine="640"/>
        <w:jc w:val="both"/>
      </w:pPr>
      <w:r>
        <w:rPr>
          <w:rFonts w:ascii="仿宋_GB2312" w:hAnsi="仿宋_GB2312" w:eastAsia="仿宋_GB2312"/>
          <w:b w:val="0"/>
          <w:sz w:val="32"/>
        </w:rPr>
        <w:t>授予中小企业合同金额2.01万元，占政府采购支出总额的100.00%，其中：授予小微企业合同金额2.01万元，占政府采购支出总额的100.00%。</w:t>
      </w:r>
    </w:p>
    <w:p w14:paraId="4E3AEF69">
      <w:pPr>
        <w:spacing w:line="640" w:lineRule="exact"/>
        <w:ind w:firstLine="640"/>
        <w:jc w:val="both"/>
        <w:outlineLvl w:val="3"/>
      </w:pPr>
      <w:r>
        <w:rPr>
          <w:rFonts w:ascii="楷体_GB2312" w:hAnsi="楷体_GB2312" w:eastAsia="楷体_GB2312"/>
          <w:b/>
          <w:sz w:val="32"/>
        </w:rPr>
        <w:t>（三）国有资产占用情况说明</w:t>
      </w:r>
    </w:p>
    <w:p w14:paraId="09172A46">
      <w:pPr>
        <w:spacing w:line="580" w:lineRule="exact"/>
        <w:ind w:firstLine="640"/>
        <w:jc w:val="both"/>
      </w:pPr>
      <w:r>
        <w:rPr>
          <w:rFonts w:ascii="仿宋_GB2312" w:hAnsi="仿宋_GB2312" w:eastAsia="仿宋_GB2312"/>
          <w:b w:val="0"/>
          <w:sz w:val="32"/>
        </w:rPr>
        <w:t>截至2024年12月31日，房屋6,615.26平方米，价值974.53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97FECE7">
      <w:pPr>
        <w:spacing w:line="640" w:lineRule="exact"/>
        <w:ind w:firstLine="640"/>
        <w:jc w:val="both"/>
        <w:outlineLvl w:val="2"/>
      </w:pPr>
      <w:r>
        <w:rPr>
          <w:rFonts w:ascii="黑体" w:hAnsi="黑体" w:eastAsia="黑体"/>
          <w:sz w:val="32"/>
        </w:rPr>
        <w:t>十一、预算绩效的情况说明</w:t>
      </w:r>
    </w:p>
    <w:p w14:paraId="12D651C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3,059.20万元，实际执行总额3,059.17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3630729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8C32084">
        <w:tblPrEx>
          <w:tblCellMar>
            <w:top w:w="0" w:type="dxa"/>
            <w:left w:w="108" w:type="dxa"/>
            <w:bottom w:w="0" w:type="dxa"/>
            <w:right w:w="108" w:type="dxa"/>
          </w:tblCellMar>
        </w:tblPrEx>
        <w:tc>
          <w:tcPr>
            <w:tcW w:w="8840" w:type="dxa"/>
            <w:gridSpan w:val="8"/>
            <w:vAlign w:val="center"/>
          </w:tcPr>
          <w:p w14:paraId="34B771FA">
            <w:pPr>
              <w:jc w:val="center"/>
            </w:pPr>
            <w:r>
              <w:rPr>
                <w:rFonts w:ascii="宋体" w:hAnsi="宋体" w:eastAsia="宋体"/>
                <w:sz w:val="24"/>
              </w:rPr>
              <w:t>单位整体支出绩效自评表</w:t>
            </w:r>
          </w:p>
        </w:tc>
      </w:tr>
      <w:tr w14:paraId="4B950B78">
        <w:tblPrEx>
          <w:tblCellMar>
            <w:top w:w="0" w:type="dxa"/>
            <w:left w:w="108" w:type="dxa"/>
            <w:bottom w:w="0" w:type="dxa"/>
            <w:right w:w="108" w:type="dxa"/>
          </w:tblCellMar>
        </w:tblPrEx>
        <w:tc>
          <w:tcPr>
            <w:tcW w:w="8840" w:type="dxa"/>
            <w:gridSpan w:val="8"/>
            <w:vAlign w:val="center"/>
          </w:tcPr>
          <w:p w14:paraId="708D1441">
            <w:pPr>
              <w:jc w:val="center"/>
            </w:pPr>
            <w:r>
              <w:rPr>
                <w:rFonts w:ascii="宋体" w:hAnsi="宋体" w:eastAsia="宋体"/>
                <w:sz w:val="24"/>
              </w:rPr>
              <w:t>（2024年度）</w:t>
            </w:r>
          </w:p>
        </w:tc>
      </w:tr>
      <w:tr w14:paraId="6D8B1FE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11AF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44B462">
            <w:pPr>
              <w:jc w:val="center"/>
            </w:pPr>
            <w:r>
              <w:rPr>
                <w:rFonts w:ascii="宋体" w:hAnsi="宋体" w:eastAsia="宋体"/>
                <w:sz w:val="16"/>
              </w:rPr>
              <w:t>阿克陶县玉麦镇第一中学</w:t>
            </w:r>
          </w:p>
        </w:tc>
      </w:tr>
      <w:tr w14:paraId="2369F00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D980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2F2A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C0EE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5099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9BDB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0AB5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026D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719E5">
            <w:pPr>
              <w:jc w:val="center"/>
            </w:pPr>
            <w:r>
              <w:rPr>
                <w:rFonts w:ascii="宋体" w:hAnsi="宋体" w:eastAsia="宋体"/>
                <w:sz w:val="16"/>
              </w:rPr>
              <w:t>得分</w:t>
            </w:r>
          </w:p>
        </w:tc>
      </w:tr>
      <w:tr w14:paraId="4391A3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FBF33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62AA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60A8B">
            <w:pPr>
              <w:jc w:val="center"/>
            </w:pPr>
            <w:r>
              <w:rPr>
                <w:rFonts w:ascii="宋体" w:hAnsi="宋体" w:eastAsia="宋体"/>
                <w:sz w:val="16"/>
              </w:rPr>
              <w:t>2,766.56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3A4FC">
            <w:pPr>
              <w:jc w:val="center"/>
            </w:pPr>
            <w:r>
              <w:rPr>
                <w:rFonts w:ascii="宋体" w:hAnsi="宋体" w:eastAsia="宋体"/>
                <w:sz w:val="16"/>
              </w:rPr>
              <w:t>3,059.20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DAB03">
            <w:pPr>
              <w:jc w:val="center"/>
              <w:rPr>
                <w:rFonts w:hint="default" w:eastAsia="宋体"/>
                <w:lang w:val="en-US" w:eastAsia="zh-CN"/>
              </w:rPr>
            </w:pPr>
            <w:r>
              <w:rPr>
                <w:rFonts w:ascii="宋体" w:hAnsi="宋体" w:eastAsia="宋体"/>
                <w:sz w:val="16"/>
              </w:rPr>
              <w:t>3,059.</w:t>
            </w:r>
            <w:r>
              <w:rPr>
                <w:rFonts w:hint="eastAsia" w:ascii="宋体" w:hAnsi="宋体"/>
                <w:sz w:val="16"/>
                <w:lang w:val="en-US" w:eastAsia="zh-CN"/>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67F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1A25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F5850">
            <w:pPr>
              <w:jc w:val="center"/>
            </w:pPr>
            <w:r>
              <w:rPr>
                <w:rFonts w:ascii="宋体" w:hAnsi="宋体" w:eastAsia="宋体"/>
                <w:sz w:val="16"/>
              </w:rPr>
              <w:t>10</w:t>
            </w:r>
          </w:p>
        </w:tc>
      </w:tr>
      <w:tr w14:paraId="39218D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30649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AF0E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687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FF2D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0D73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500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09A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7A591">
            <w:pPr>
              <w:jc w:val="center"/>
            </w:pPr>
            <w:r>
              <w:rPr>
                <w:rFonts w:ascii="宋体" w:hAnsi="宋体" w:eastAsia="宋体"/>
                <w:sz w:val="16"/>
              </w:rPr>
              <w:t>—</w:t>
            </w:r>
          </w:p>
        </w:tc>
      </w:tr>
      <w:tr w14:paraId="693329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FA20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04BB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CCFBF">
            <w:pPr>
              <w:jc w:val="center"/>
            </w:pPr>
            <w:r>
              <w:rPr>
                <w:rFonts w:ascii="宋体" w:hAnsi="宋体" w:eastAsia="宋体"/>
                <w:sz w:val="16"/>
              </w:rPr>
              <w:t>2,766.56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967AA">
            <w:pPr>
              <w:jc w:val="center"/>
            </w:pPr>
            <w:r>
              <w:rPr>
                <w:rFonts w:ascii="宋体" w:hAnsi="宋体" w:eastAsia="宋体"/>
                <w:sz w:val="16"/>
              </w:rPr>
              <w:t>3,059.20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74806">
            <w:pPr>
              <w:jc w:val="center"/>
              <w:rPr>
                <w:rFonts w:hint="default" w:eastAsia="宋体"/>
                <w:lang w:val="en-US" w:eastAsia="zh-CN"/>
              </w:rPr>
            </w:pPr>
            <w:r>
              <w:rPr>
                <w:rFonts w:ascii="宋体" w:hAnsi="宋体" w:eastAsia="宋体"/>
                <w:sz w:val="16"/>
              </w:rPr>
              <w:t>3,059.</w:t>
            </w:r>
            <w:r>
              <w:rPr>
                <w:rFonts w:hint="eastAsia" w:ascii="宋体" w:hAnsi="宋体"/>
                <w:sz w:val="16"/>
                <w:lang w:val="en-US" w:eastAsia="zh-CN"/>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372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D9E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DD7E9">
            <w:pPr>
              <w:jc w:val="center"/>
            </w:pPr>
            <w:r>
              <w:rPr>
                <w:rFonts w:ascii="宋体" w:hAnsi="宋体" w:eastAsia="宋体"/>
                <w:sz w:val="16"/>
              </w:rPr>
              <w:t>—</w:t>
            </w:r>
          </w:p>
        </w:tc>
      </w:tr>
      <w:tr w14:paraId="5019F4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352C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6D0A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76CF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F58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B2A6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CE2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35E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05C8A">
            <w:pPr>
              <w:jc w:val="center"/>
            </w:pPr>
            <w:r>
              <w:rPr>
                <w:rFonts w:ascii="宋体" w:hAnsi="宋体" w:eastAsia="宋体"/>
                <w:sz w:val="16"/>
              </w:rPr>
              <w:t>—</w:t>
            </w:r>
          </w:p>
        </w:tc>
      </w:tr>
      <w:tr w14:paraId="75A366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0C21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49A80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F809D9">
            <w:pPr>
              <w:jc w:val="center"/>
            </w:pPr>
            <w:r>
              <w:rPr>
                <w:rFonts w:ascii="宋体" w:hAnsi="宋体" w:eastAsia="宋体"/>
                <w:sz w:val="16"/>
              </w:rPr>
              <w:t>实际完成情况</w:t>
            </w:r>
          </w:p>
        </w:tc>
      </w:tr>
      <w:tr w14:paraId="2DB610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1A6CD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B6D876">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F3F5AC">
            <w:pPr>
              <w:jc w:val="both"/>
            </w:pPr>
            <w:r>
              <w:rPr>
                <w:rFonts w:ascii="宋体" w:hAnsi="宋体" w:eastAsia="宋体"/>
                <w:sz w:val="16"/>
              </w:rPr>
              <w:t>人员工资福利支出预算保障人数126人，依规、按时、足额发放或缴纳。学生升学率99.6%，学生入学率100%，有效提升部门人员工作积极性和服务质量；有效保障部门日常运转，为部门正常履职和开展综合性事务提供有效支撑，并大大提升我校教育教学水平，最大程度提高师生的满意度。</w:t>
            </w:r>
          </w:p>
        </w:tc>
      </w:tr>
      <w:tr w14:paraId="353C019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1E28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0C19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ABE7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D6FB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0225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E724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4C128">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40673">
            <w:pPr>
              <w:jc w:val="center"/>
            </w:pPr>
            <w:r>
              <w:rPr>
                <w:rFonts w:ascii="宋体" w:hAnsi="宋体" w:eastAsia="宋体"/>
                <w:sz w:val="16"/>
              </w:rPr>
              <w:t>得分</w:t>
            </w:r>
          </w:p>
        </w:tc>
      </w:tr>
      <w:tr w14:paraId="3B64A83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193B0">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E31A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CAAB0">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A654D">
            <w:pPr>
              <w:jc w:val="center"/>
            </w:pPr>
            <w:r>
              <w:rPr>
                <w:rFonts w:ascii="宋体" w:hAnsi="宋体" w:eastAsia="宋体"/>
                <w:sz w:val="16"/>
              </w:rPr>
              <w:t>&gt;=128人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2202C">
            <w:pPr>
              <w:jc w:val="center"/>
            </w:pPr>
            <w:r>
              <w:rPr>
                <w:rFonts w:ascii="宋体" w:hAnsi="宋体" w:eastAsia="宋体"/>
                <w:sz w:val="16"/>
              </w:rPr>
              <w:t>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1AD6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AE093">
            <w:pPr>
              <w:jc w:val="center"/>
            </w:pPr>
            <w:r>
              <w:rPr>
                <w:rFonts w:ascii="宋体" w:hAnsi="宋体" w:eastAsia="宋体"/>
                <w:sz w:val="16"/>
              </w:rPr>
              <w:t>126人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E4B9E">
            <w:pPr>
              <w:jc w:val="center"/>
            </w:pPr>
            <w:r>
              <w:rPr>
                <w:rFonts w:ascii="宋体" w:hAnsi="宋体" w:eastAsia="宋体"/>
                <w:sz w:val="16"/>
              </w:rPr>
              <w:t>9.84</w:t>
            </w:r>
          </w:p>
        </w:tc>
      </w:tr>
      <w:tr w14:paraId="767126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D7F19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FFC2F">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4A2AF">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3C2E3">
            <w:pPr>
              <w:jc w:val="center"/>
            </w:pPr>
            <w:r>
              <w:rPr>
                <w:rFonts w:ascii="宋体" w:hAnsi="宋体" w:eastAsia="宋体"/>
                <w:sz w:val="16"/>
              </w:rPr>
              <w:t>&lt;=2731.03万元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A0EB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0E7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4D5A3">
            <w:pPr>
              <w:jc w:val="center"/>
            </w:pPr>
            <w:r>
              <w:rPr>
                <w:rFonts w:ascii="宋体" w:hAnsi="宋体" w:eastAsia="宋体"/>
                <w:sz w:val="16"/>
              </w:rPr>
              <w:t>2921万元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87805">
            <w:pPr>
              <w:jc w:val="center"/>
            </w:pPr>
            <w:r>
              <w:rPr>
                <w:rFonts w:ascii="宋体" w:hAnsi="宋体" w:eastAsia="宋体"/>
                <w:sz w:val="16"/>
              </w:rPr>
              <w:t>9.35</w:t>
            </w:r>
          </w:p>
        </w:tc>
      </w:tr>
      <w:tr w14:paraId="5B7B7D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07F4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F63E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BBA66">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66545">
            <w:pPr>
              <w:jc w:val="center"/>
            </w:pPr>
            <w:r>
              <w:rPr>
                <w:rFonts w:ascii="宋体" w:hAnsi="宋体" w:eastAsia="宋体"/>
                <w:sz w:val="16"/>
              </w:rPr>
              <w:t>&lt;=35.53万元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6B43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90B6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E6E5B">
            <w:pPr>
              <w:jc w:val="center"/>
            </w:pPr>
            <w:r>
              <w:rPr>
                <w:rFonts w:ascii="宋体" w:hAnsi="宋体" w:eastAsia="宋体"/>
                <w:sz w:val="16"/>
              </w:rPr>
              <w:t>61万元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EF662">
            <w:pPr>
              <w:jc w:val="center"/>
            </w:pPr>
            <w:r>
              <w:rPr>
                <w:rFonts w:ascii="宋体" w:hAnsi="宋体" w:eastAsia="宋体"/>
                <w:sz w:val="16"/>
              </w:rPr>
              <w:t>5.82</w:t>
            </w:r>
          </w:p>
        </w:tc>
      </w:tr>
      <w:tr w14:paraId="57A66DB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B9EFA">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FAD1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054D4">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50A6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B3B2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2DC6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A88D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6672B">
            <w:pPr>
              <w:jc w:val="center"/>
            </w:pPr>
            <w:r>
              <w:rPr>
                <w:rFonts w:ascii="宋体" w:hAnsi="宋体" w:eastAsia="宋体"/>
                <w:sz w:val="16"/>
              </w:rPr>
              <w:t>15</w:t>
            </w:r>
          </w:p>
        </w:tc>
      </w:tr>
      <w:tr w14:paraId="3FB31D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BD92E">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0696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16F43">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D7053">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8464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F425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A494B">
            <w:pPr>
              <w:jc w:val="center"/>
            </w:pPr>
            <w:r>
              <w:rPr>
                <w:rFonts w:ascii="宋体" w:hAnsi="宋体" w:eastAsia="宋体"/>
                <w:sz w:val="16"/>
              </w:rPr>
              <w:t>99.6%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75A155">
            <w:pPr>
              <w:jc w:val="center"/>
            </w:pPr>
            <w:r>
              <w:rPr>
                <w:rFonts w:ascii="宋体" w:hAnsi="宋体" w:eastAsia="宋体"/>
                <w:sz w:val="16"/>
              </w:rPr>
              <w:t>15</w:t>
            </w:r>
          </w:p>
        </w:tc>
      </w:tr>
      <w:tr w14:paraId="016D0B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82FE0">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0DE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72DE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AF9B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51735">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1E2D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E33E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457D9">
            <w:pPr>
              <w:jc w:val="center"/>
            </w:pPr>
            <w:r>
              <w:rPr>
                <w:rFonts w:ascii="宋体" w:hAnsi="宋体" w:eastAsia="宋体"/>
                <w:sz w:val="16"/>
              </w:rPr>
              <w:t>10</w:t>
            </w:r>
          </w:p>
        </w:tc>
      </w:tr>
      <w:tr w14:paraId="1577C9B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9088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8EDE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490A3B">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03F8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9693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5C06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00C17">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C684A">
            <w:pPr>
              <w:jc w:val="center"/>
            </w:pPr>
            <w:r>
              <w:rPr>
                <w:rFonts w:ascii="宋体" w:hAnsi="宋体" w:eastAsia="宋体"/>
                <w:sz w:val="16"/>
              </w:rPr>
              <w:t>10</w:t>
            </w:r>
          </w:p>
        </w:tc>
      </w:tr>
      <w:tr w14:paraId="205AFC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E76D2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B9D3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BAEED">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208A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5162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E231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D508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3BC92">
            <w:pPr>
              <w:jc w:val="center"/>
            </w:pPr>
            <w:r>
              <w:rPr>
                <w:rFonts w:ascii="宋体" w:hAnsi="宋体" w:eastAsia="宋体"/>
                <w:sz w:val="16"/>
              </w:rPr>
              <w:t>10</w:t>
            </w:r>
          </w:p>
        </w:tc>
      </w:tr>
    </w:tbl>
    <w:p w14:paraId="30F38395">
      <w:r>
        <w:br w:type="page"/>
      </w:r>
    </w:p>
    <w:p w14:paraId="786B1C10">
      <w:pPr>
        <w:spacing w:line="640" w:lineRule="exact"/>
        <w:ind w:firstLine="640"/>
        <w:jc w:val="both"/>
        <w:outlineLvl w:val="2"/>
      </w:pPr>
      <w:r>
        <w:rPr>
          <w:rFonts w:ascii="黑体" w:hAnsi="黑体" w:eastAsia="黑体"/>
          <w:sz w:val="32"/>
        </w:rPr>
        <w:t>十二、其他需说明的事项</w:t>
      </w:r>
    </w:p>
    <w:p w14:paraId="29103C22">
      <w:pPr>
        <w:spacing w:line="580" w:lineRule="exact"/>
        <w:ind w:firstLine="640"/>
        <w:jc w:val="both"/>
      </w:pPr>
      <w:r>
        <w:rPr>
          <w:rFonts w:ascii="仿宋_GB2312" w:hAnsi="仿宋_GB2312" w:eastAsia="仿宋_GB2312"/>
          <w:b w:val="0"/>
          <w:sz w:val="32"/>
        </w:rPr>
        <w:t>本单位无其他需说明的事项。</w:t>
      </w:r>
    </w:p>
    <w:p w14:paraId="6ECCF3C1">
      <w:r>
        <w:br w:type="page"/>
      </w:r>
    </w:p>
    <w:p w14:paraId="4F06789E">
      <w:pPr>
        <w:spacing w:line="240" w:lineRule="auto"/>
        <w:jc w:val="center"/>
        <w:outlineLvl w:val="1"/>
      </w:pPr>
      <w:r>
        <w:rPr>
          <w:rFonts w:ascii="黑体" w:hAnsi="黑体" w:eastAsia="黑体"/>
          <w:sz w:val="32"/>
        </w:rPr>
        <w:t>第三部分 专业名词解释</w:t>
      </w:r>
    </w:p>
    <w:p w14:paraId="757D3E7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1519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5E033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2E2BBC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CBE9F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558255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2158B8">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C9B14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F81D7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E598E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4BFC9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2F9751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49D5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CAE82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D4F354A">
      <w:r>
        <w:br w:type="page"/>
      </w:r>
    </w:p>
    <w:p w14:paraId="77D635E9">
      <w:pPr>
        <w:spacing w:line="240" w:lineRule="auto"/>
        <w:jc w:val="center"/>
        <w:outlineLvl w:val="1"/>
      </w:pPr>
      <w:r>
        <w:rPr>
          <w:rFonts w:ascii="黑体" w:hAnsi="黑体" w:eastAsia="黑体"/>
          <w:sz w:val="32"/>
        </w:rPr>
        <w:t>第四部分 部门决算报表（见附表）</w:t>
      </w:r>
    </w:p>
    <w:p w14:paraId="75CA41B8">
      <w:pPr>
        <w:spacing w:line="240" w:lineRule="auto"/>
        <w:ind w:firstLine="640"/>
        <w:jc w:val="both"/>
      </w:pPr>
      <w:r>
        <w:rPr>
          <w:rFonts w:ascii="仿宋_GB2312" w:hAnsi="仿宋_GB2312" w:eastAsia="仿宋_GB2312"/>
          <w:b w:val="0"/>
          <w:sz w:val="32"/>
        </w:rPr>
        <w:t>一、《收入支出决算总表》</w:t>
      </w:r>
    </w:p>
    <w:p w14:paraId="68131838">
      <w:pPr>
        <w:spacing w:line="240" w:lineRule="auto"/>
        <w:ind w:firstLine="640"/>
        <w:jc w:val="both"/>
      </w:pPr>
      <w:r>
        <w:rPr>
          <w:rFonts w:ascii="仿宋_GB2312" w:hAnsi="仿宋_GB2312" w:eastAsia="仿宋_GB2312"/>
          <w:b w:val="0"/>
          <w:sz w:val="32"/>
        </w:rPr>
        <w:t>二、《收入决算表》</w:t>
      </w:r>
    </w:p>
    <w:p w14:paraId="6569A4BA">
      <w:pPr>
        <w:spacing w:line="240" w:lineRule="auto"/>
        <w:ind w:firstLine="640"/>
        <w:jc w:val="both"/>
      </w:pPr>
      <w:r>
        <w:rPr>
          <w:rFonts w:ascii="仿宋_GB2312" w:hAnsi="仿宋_GB2312" w:eastAsia="仿宋_GB2312"/>
          <w:b w:val="0"/>
          <w:sz w:val="32"/>
        </w:rPr>
        <w:t>三、《支出决算表》</w:t>
      </w:r>
    </w:p>
    <w:p w14:paraId="4226A02B">
      <w:pPr>
        <w:spacing w:line="240" w:lineRule="auto"/>
        <w:ind w:firstLine="640"/>
        <w:jc w:val="both"/>
      </w:pPr>
      <w:r>
        <w:rPr>
          <w:rFonts w:ascii="仿宋_GB2312" w:hAnsi="仿宋_GB2312" w:eastAsia="仿宋_GB2312"/>
          <w:b w:val="0"/>
          <w:sz w:val="32"/>
        </w:rPr>
        <w:t>四、《财政拨款收入支出决算总表》</w:t>
      </w:r>
    </w:p>
    <w:p w14:paraId="24EC2648">
      <w:pPr>
        <w:spacing w:line="240" w:lineRule="auto"/>
        <w:ind w:firstLine="640"/>
        <w:jc w:val="both"/>
      </w:pPr>
      <w:r>
        <w:rPr>
          <w:rFonts w:ascii="仿宋_GB2312" w:hAnsi="仿宋_GB2312" w:eastAsia="仿宋_GB2312"/>
          <w:b w:val="0"/>
          <w:sz w:val="32"/>
        </w:rPr>
        <w:t>五、《一般公共预算财政拨款支出决算表》</w:t>
      </w:r>
    </w:p>
    <w:p w14:paraId="2F84E798">
      <w:pPr>
        <w:spacing w:line="240" w:lineRule="auto"/>
        <w:ind w:firstLine="640"/>
        <w:jc w:val="both"/>
      </w:pPr>
      <w:r>
        <w:rPr>
          <w:rFonts w:ascii="仿宋_GB2312" w:hAnsi="仿宋_GB2312" w:eastAsia="仿宋_GB2312"/>
          <w:b w:val="0"/>
          <w:sz w:val="32"/>
        </w:rPr>
        <w:t>六、《一般公共预算财政拨款基本支出决算表》</w:t>
      </w:r>
    </w:p>
    <w:p w14:paraId="38CF9E84">
      <w:pPr>
        <w:spacing w:line="240" w:lineRule="auto"/>
        <w:ind w:firstLine="640"/>
        <w:jc w:val="both"/>
      </w:pPr>
      <w:r>
        <w:rPr>
          <w:rFonts w:ascii="仿宋_GB2312" w:hAnsi="仿宋_GB2312" w:eastAsia="仿宋_GB2312"/>
          <w:b w:val="0"/>
          <w:sz w:val="32"/>
        </w:rPr>
        <w:t>七、《政府性基金预算财政拨款收入支出决算表》</w:t>
      </w:r>
    </w:p>
    <w:p w14:paraId="4C15AE87">
      <w:pPr>
        <w:spacing w:line="240" w:lineRule="auto"/>
        <w:ind w:firstLine="640"/>
        <w:jc w:val="both"/>
      </w:pPr>
      <w:r>
        <w:rPr>
          <w:rFonts w:ascii="仿宋_GB2312" w:hAnsi="仿宋_GB2312" w:eastAsia="仿宋_GB2312"/>
          <w:b w:val="0"/>
          <w:sz w:val="32"/>
        </w:rPr>
        <w:t>八、《国有资本经营预算财政拨款收入支出决算表》</w:t>
      </w:r>
    </w:p>
    <w:p w14:paraId="4C834158">
      <w:pPr>
        <w:spacing w:line="240" w:lineRule="auto"/>
        <w:ind w:firstLine="640"/>
        <w:jc w:val="both"/>
      </w:pPr>
      <w:r>
        <w:rPr>
          <w:rFonts w:ascii="仿宋_GB2312" w:hAnsi="仿宋_GB2312" w:eastAsia="仿宋_GB2312"/>
          <w:b w:val="0"/>
          <w:sz w:val="32"/>
        </w:rPr>
        <w:t>九、《财政拨款“三公”经费支出决算表》</w:t>
      </w:r>
    </w:p>
    <w:p w14:paraId="0BFCE6F9">
      <w:pPr>
        <w:spacing w:line="240" w:lineRule="auto"/>
        <w:ind w:firstLine="640"/>
        <w:jc w:val="both"/>
      </w:pPr>
    </w:p>
    <w:p w14:paraId="58483F31">
      <w:pPr>
        <w:spacing w:line="240" w:lineRule="auto"/>
        <w:ind w:firstLine="640"/>
        <w:jc w:val="both"/>
      </w:pPr>
    </w:p>
    <w:p w14:paraId="52EB843C">
      <w:pPr>
        <w:spacing w:line="240" w:lineRule="auto"/>
        <w:ind w:firstLine="640"/>
        <w:jc w:val="both"/>
      </w:pPr>
    </w:p>
    <w:p w14:paraId="67CDEBB4">
      <w:pPr>
        <w:spacing w:line="240" w:lineRule="auto"/>
        <w:ind w:firstLine="640"/>
        <w:jc w:val="both"/>
      </w:pPr>
    </w:p>
    <w:p w14:paraId="4394CB8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AA1531"/>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5671</Words>
  <Characters>6470</Characters>
  <Lines>0</Lines>
  <Paragraphs>0</Paragraphs>
  <TotalTime>4</TotalTime>
  <ScaleCrop>false</ScaleCrop>
  <LinksUpToDate>false</LinksUpToDate>
  <CharactersWithSpaces>6480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2025-09-15T04:34:36Z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